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B45752" w14:paraId="10C423E4" w14:textId="77777777" w:rsidTr="007A2E16">
        <w:trPr>
          <w:trHeight w:val="402"/>
        </w:trPr>
        <w:tc>
          <w:tcPr>
            <w:tcW w:w="10000" w:type="dxa"/>
            <w:tcBorders>
              <w:top w:val="nil"/>
              <w:left w:val="nil"/>
              <w:bottom w:val="nil"/>
              <w:right w:val="nil"/>
            </w:tcBorders>
            <w:shd w:val="clear" w:color="auto" w:fill="auto"/>
            <w:noWrap/>
            <w:vAlign w:val="center"/>
          </w:tcPr>
          <w:p w14:paraId="13BE90C2" w14:textId="55F29FBD" w:rsidR="00843933" w:rsidRPr="00B45752" w:rsidRDefault="00843933" w:rsidP="006E0788">
            <w:pPr>
              <w:spacing w:after="0" w:line="240" w:lineRule="auto"/>
              <w:jc w:val="right"/>
              <w:rPr>
                <w:rFonts w:asciiTheme="majorHAnsi" w:eastAsia="Times New Roman" w:hAnsiTheme="majorHAnsi" w:cs="Times New Roman"/>
                <w:iCs/>
                <w:sz w:val="18"/>
                <w:szCs w:val="18"/>
              </w:rPr>
            </w:pPr>
            <w:bookmarkStart w:id="0" w:name="_GoBack"/>
            <w:bookmarkEnd w:id="0"/>
          </w:p>
        </w:tc>
      </w:tr>
    </w:tbl>
    <w:p w14:paraId="4FA1AB42" w14:textId="77777777" w:rsidR="00C43B5A" w:rsidRPr="00991A6C" w:rsidRDefault="00C43B5A">
      <w:pPr>
        <w:rPr>
          <w:rFonts w:asciiTheme="majorHAnsi" w:hAnsiTheme="majorHAnsi" w:cs="Times New Roman"/>
        </w:rPr>
      </w:pPr>
    </w:p>
    <w:tbl>
      <w:tblPr>
        <w:tblW w:w="9513" w:type="dxa"/>
        <w:tblInd w:w="93" w:type="dxa"/>
        <w:shd w:val="clear" w:color="auto" w:fill="FDE9D9" w:themeFill="accent6" w:themeFillTint="33"/>
        <w:tblLook w:val="04A0" w:firstRow="1" w:lastRow="0" w:firstColumn="1" w:lastColumn="0" w:noHBand="0" w:noVBand="1"/>
      </w:tblPr>
      <w:tblGrid>
        <w:gridCol w:w="9513"/>
      </w:tblGrid>
      <w:tr w:rsidR="00843933" w:rsidRPr="00991A6C" w14:paraId="5D28147E" w14:textId="77777777" w:rsidTr="007A02DE">
        <w:trPr>
          <w:trHeight w:val="799"/>
        </w:trPr>
        <w:tc>
          <w:tcPr>
            <w:tcW w:w="95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833DD1E" w14:textId="77777777" w:rsidR="006E0788" w:rsidRPr="00991A6C" w:rsidRDefault="006E0788" w:rsidP="006E0788">
            <w:pPr>
              <w:spacing w:after="0" w:line="240" w:lineRule="auto"/>
              <w:jc w:val="center"/>
              <w:rPr>
                <w:rFonts w:asciiTheme="majorHAnsi" w:eastAsia="Times New Roman" w:hAnsiTheme="majorHAnsi" w:cs="Times New Roman"/>
                <w:b/>
                <w:bCs/>
                <w:sz w:val="20"/>
                <w:szCs w:val="20"/>
              </w:rPr>
            </w:pPr>
          </w:p>
          <w:p w14:paraId="48B68F15" w14:textId="280AED54" w:rsidR="00843933" w:rsidRPr="00991A6C" w:rsidRDefault="00843933" w:rsidP="006E0788">
            <w:pPr>
              <w:spacing w:after="0" w:line="240" w:lineRule="auto"/>
              <w:jc w:val="cente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REGISTER NUMBER:</w:t>
            </w:r>
            <w:r w:rsidR="007A02DE" w:rsidRPr="00991A6C">
              <w:rPr>
                <w:rFonts w:asciiTheme="majorHAnsi" w:eastAsia="Times New Roman" w:hAnsiTheme="majorHAnsi" w:cs="Times New Roman"/>
                <w:b/>
                <w:bCs/>
                <w:sz w:val="20"/>
                <w:szCs w:val="20"/>
              </w:rPr>
              <w:t xml:space="preserve"> [</w:t>
            </w:r>
            <w:r w:rsidR="007A02DE" w:rsidRPr="00991A6C">
              <w:rPr>
                <w:rFonts w:asciiTheme="majorHAnsi" w:eastAsia="Times New Roman" w:hAnsiTheme="majorHAnsi" w:cs="Times New Roman"/>
                <w:b/>
                <w:bCs/>
                <w:sz w:val="20"/>
                <w:szCs w:val="20"/>
                <w:highlight w:val="yellow"/>
              </w:rPr>
              <w:t>NN</w:t>
            </w:r>
            <w:r w:rsidR="007A02DE" w:rsidRPr="00991A6C">
              <w:rPr>
                <w:rFonts w:asciiTheme="majorHAnsi" w:eastAsia="Times New Roman" w:hAnsiTheme="majorHAnsi" w:cs="Times New Roman"/>
                <w:b/>
                <w:bCs/>
                <w:sz w:val="20"/>
                <w:szCs w:val="20"/>
              </w:rPr>
              <w:t>]/</w:t>
            </w:r>
            <w:r w:rsidR="00991A6C" w:rsidRPr="00991A6C">
              <w:rPr>
                <w:rFonts w:asciiTheme="majorHAnsi" w:eastAsia="Times New Roman" w:hAnsiTheme="majorHAnsi" w:cs="Times New Roman"/>
                <w:b/>
                <w:bCs/>
                <w:sz w:val="20"/>
                <w:szCs w:val="20"/>
              </w:rPr>
              <w:t>[</w:t>
            </w:r>
            <w:r w:rsidR="00991A6C" w:rsidRPr="00991A6C">
              <w:rPr>
                <w:rFonts w:asciiTheme="majorHAnsi" w:eastAsia="Times New Roman" w:hAnsiTheme="majorHAnsi" w:cs="Times New Roman"/>
                <w:b/>
                <w:bCs/>
                <w:sz w:val="20"/>
                <w:szCs w:val="20"/>
                <w:highlight w:val="yellow"/>
              </w:rPr>
              <w:t>YYYY</w:t>
            </w:r>
            <w:r w:rsidR="00991A6C" w:rsidRPr="00991A6C">
              <w:rPr>
                <w:rFonts w:asciiTheme="majorHAnsi" w:eastAsia="Times New Roman" w:hAnsiTheme="majorHAnsi" w:cs="Times New Roman"/>
                <w:b/>
                <w:bCs/>
                <w:sz w:val="20"/>
                <w:szCs w:val="20"/>
              </w:rPr>
              <w:t>]</w:t>
            </w:r>
          </w:p>
          <w:p w14:paraId="1E9BE189" w14:textId="77777777" w:rsidR="006E0788" w:rsidRPr="00991A6C" w:rsidRDefault="006E0788" w:rsidP="006E0788">
            <w:pPr>
              <w:spacing w:after="0" w:line="240" w:lineRule="auto"/>
              <w:jc w:val="center"/>
              <w:rPr>
                <w:rFonts w:asciiTheme="majorHAnsi" w:eastAsia="Times New Roman" w:hAnsiTheme="majorHAnsi" w:cs="Times New Roman"/>
                <w:b/>
                <w:bCs/>
                <w:sz w:val="20"/>
                <w:szCs w:val="20"/>
              </w:rPr>
            </w:pPr>
          </w:p>
        </w:tc>
      </w:tr>
      <w:tr w:rsidR="00843933" w:rsidRPr="00991A6C" w14:paraId="542FEA1E" w14:textId="77777777" w:rsidTr="007A02DE">
        <w:trPr>
          <w:trHeight w:val="799"/>
        </w:trPr>
        <w:tc>
          <w:tcPr>
            <w:tcW w:w="95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5A709CD" w14:textId="77777777" w:rsidR="00843933" w:rsidRPr="00991A6C" w:rsidRDefault="00843933" w:rsidP="006E0788">
            <w:pPr>
              <w:spacing w:after="0" w:line="240" w:lineRule="auto"/>
              <w:jc w:val="center"/>
              <w:rPr>
                <w:rFonts w:asciiTheme="majorHAnsi" w:eastAsia="Times New Roman" w:hAnsiTheme="majorHAnsi" w:cs="Times New Roman"/>
                <w:b/>
                <w:bCs/>
                <w:sz w:val="24"/>
                <w:szCs w:val="24"/>
              </w:rPr>
            </w:pPr>
            <w:r w:rsidRPr="00991A6C">
              <w:rPr>
                <w:rFonts w:asciiTheme="majorHAnsi" w:eastAsia="Times New Roman" w:hAnsiTheme="majorHAnsi" w:cs="Times New Roman"/>
                <w:b/>
                <w:bCs/>
                <w:sz w:val="24"/>
                <w:szCs w:val="24"/>
              </w:rPr>
              <w:t>NOTIFICATION FOR PRIOR CHECKING</w:t>
            </w:r>
          </w:p>
        </w:tc>
      </w:tr>
      <w:tr w:rsidR="00843933" w:rsidRPr="00991A6C" w14:paraId="1468A396" w14:textId="77777777" w:rsidTr="007A02DE">
        <w:trPr>
          <w:trHeight w:val="3060"/>
        </w:trPr>
        <w:tc>
          <w:tcPr>
            <w:tcW w:w="9513" w:type="dxa"/>
            <w:tcBorders>
              <w:top w:val="nil"/>
              <w:left w:val="single" w:sz="4" w:space="0" w:color="auto"/>
              <w:bottom w:val="nil"/>
              <w:right w:val="single" w:sz="4" w:space="0" w:color="auto"/>
            </w:tcBorders>
            <w:shd w:val="clear" w:color="auto" w:fill="FDE9D9" w:themeFill="accent6" w:themeFillTint="33"/>
            <w:vAlign w:val="center"/>
            <w:hideMark/>
          </w:tcPr>
          <w:p w14:paraId="4D356946" w14:textId="714523BA" w:rsidR="00C10F9D" w:rsidRPr="00991A6C" w:rsidRDefault="00843933" w:rsidP="00C10F9D">
            <w:pPr>
              <w:autoSpaceDE w:val="0"/>
              <w:autoSpaceDN w:val="0"/>
              <w:adjustRightInd w:val="0"/>
              <w:spacing w:after="0" w:line="240" w:lineRule="auto"/>
              <w:jc w:val="both"/>
              <w:rPr>
                <w:rFonts w:asciiTheme="majorHAnsi" w:eastAsia="Times New Roman" w:hAnsiTheme="majorHAnsi" w:cs="Times New Roman"/>
                <w:sz w:val="20"/>
                <w:szCs w:val="20"/>
              </w:rPr>
            </w:pPr>
            <w:r w:rsidRPr="00991A6C">
              <w:rPr>
                <w:rFonts w:asciiTheme="majorHAnsi" w:eastAsia="Times New Roman" w:hAnsiTheme="majorHAnsi" w:cs="Times New Roman"/>
                <w:sz w:val="20"/>
                <w:szCs w:val="20"/>
              </w:rPr>
              <w:br/>
              <w:t>Date of submission:</w:t>
            </w:r>
            <w:r w:rsidR="007A02DE" w:rsidRPr="00991A6C">
              <w:rPr>
                <w:rFonts w:asciiTheme="majorHAnsi" w:eastAsia="Times New Roman" w:hAnsiTheme="majorHAnsi" w:cs="Times New Roman"/>
                <w:sz w:val="20"/>
                <w:szCs w:val="20"/>
              </w:rPr>
              <w:t xml:space="preserve"> </w:t>
            </w:r>
            <w:r w:rsidR="00E66CA8">
              <w:rPr>
                <w:rFonts w:asciiTheme="majorHAnsi" w:eastAsia="Times New Roman" w:hAnsiTheme="majorHAnsi" w:cs="Times New Roman"/>
                <w:sz w:val="20"/>
                <w:szCs w:val="20"/>
              </w:rPr>
              <w:t>10 August 2015</w:t>
            </w:r>
          </w:p>
          <w:p w14:paraId="15147D3F" w14:textId="77777777" w:rsidR="00C10F9D" w:rsidRPr="00991A6C" w:rsidRDefault="00843933" w:rsidP="00C10F9D">
            <w:pPr>
              <w:autoSpaceDE w:val="0"/>
              <w:autoSpaceDN w:val="0"/>
              <w:adjustRightInd w:val="0"/>
              <w:spacing w:after="0" w:line="240" w:lineRule="auto"/>
              <w:jc w:val="both"/>
              <w:rPr>
                <w:rFonts w:asciiTheme="majorHAnsi" w:eastAsia="Times New Roman" w:hAnsiTheme="majorHAnsi" w:cs="Times New Roman"/>
                <w:sz w:val="20"/>
                <w:szCs w:val="20"/>
              </w:rPr>
            </w:pPr>
            <w:r w:rsidRPr="00991A6C">
              <w:rPr>
                <w:rFonts w:asciiTheme="majorHAnsi" w:eastAsia="Times New Roman" w:hAnsiTheme="majorHAnsi" w:cs="Times New Roman"/>
                <w:sz w:val="20"/>
                <w:szCs w:val="20"/>
              </w:rPr>
              <w:br/>
            </w:r>
            <w:r w:rsidRPr="00991A6C">
              <w:rPr>
                <w:rFonts w:asciiTheme="majorHAnsi" w:eastAsia="Times New Roman" w:hAnsiTheme="majorHAnsi" w:cs="Times New Roman"/>
                <w:sz w:val="20"/>
                <w:szCs w:val="20"/>
              </w:rPr>
              <w:br/>
              <w:t>Case number:</w:t>
            </w:r>
          </w:p>
          <w:p w14:paraId="4E15930E" w14:textId="77777777" w:rsidR="00C10F9D" w:rsidRPr="00991A6C" w:rsidRDefault="00843933" w:rsidP="00C10F9D">
            <w:pPr>
              <w:autoSpaceDE w:val="0"/>
              <w:autoSpaceDN w:val="0"/>
              <w:adjustRightInd w:val="0"/>
              <w:spacing w:after="0" w:line="240" w:lineRule="auto"/>
              <w:jc w:val="both"/>
              <w:rPr>
                <w:rFonts w:asciiTheme="majorHAnsi" w:eastAsia="Times New Roman" w:hAnsiTheme="majorHAnsi" w:cs="Times New Roman"/>
                <w:sz w:val="20"/>
                <w:szCs w:val="20"/>
              </w:rPr>
            </w:pPr>
            <w:r w:rsidRPr="00991A6C">
              <w:rPr>
                <w:rFonts w:asciiTheme="majorHAnsi" w:eastAsia="Times New Roman" w:hAnsiTheme="majorHAnsi" w:cs="Times New Roman"/>
                <w:sz w:val="20"/>
                <w:szCs w:val="20"/>
              </w:rPr>
              <w:br/>
            </w:r>
            <w:r w:rsidRPr="00991A6C">
              <w:rPr>
                <w:rFonts w:asciiTheme="majorHAnsi" w:eastAsia="Times New Roman" w:hAnsiTheme="majorHAnsi" w:cs="Times New Roman"/>
                <w:sz w:val="20"/>
                <w:szCs w:val="20"/>
              </w:rPr>
              <w:br/>
              <w:t>Institution:</w:t>
            </w:r>
            <w:r w:rsidR="007A02DE" w:rsidRPr="00991A6C">
              <w:rPr>
                <w:rFonts w:asciiTheme="majorHAnsi" w:eastAsia="Times New Roman" w:hAnsiTheme="majorHAnsi" w:cs="Times New Roman"/>
                <w:sz w:val="20"/>
                <w:szCs w:val="20"/>
              </w:rPr>
              <w:t xml:space="preserve"> Agency for the Cooperation of Energy Regulators</w:t>
            </w:r>
          </w:p>
          <w:p w14:paraId="2CB770A1" w14:textId="77777777" w:rsidR="00843933" w:rsidRPr="00991A6C" w:rsidRDefault="00843933" w:rsidP="007A02DE">
            <w:pPr>
              <w:autoSpaceDE w:val="0"/>
              <w:autoSpaceDN w:val="0"/>
              <w:adjustRightInd w:val="0"/>
              <w:spacing w:after="0" w:line="240" w:lineRule="auto"/>
              <w:jc w:val="both"/>
              <w:rPr>
                <w:rFonts w:asciiTheme="majorHAnsi" w:eastAsia="Times New Roman" w:hAnsiTheme="majorHAnsi" w:cs="Times New Roman"/>
                <w:sz w:val="20"/>
                <w:szCs w:val="20"/>
              </w:rPr>
            </w:pPr>
            <w:r w:rsidRPr="00991A6C">
              <w:rPr>
                <w:rFonts w:asciiTheme="majorHAnsi" w:eastAsia="Times New Roman" w:hAnsiTheme="majorHAnsi" w:cs="Times New Roman"/>
                <w:sz w:val="20"/>
                <w:szCs w:val="20"/>
              </w:rPr>
              <w:br/>
            </w:r>
            <w:r w:rsidRPr="00991A6C">
              <w:rPr>
                <w:rFonts w:asciiTheme="majorHAnsi" w:eastAsia="Times New Roman" w:hAnsiTheme="majorHAnsi" w:cs="Times New Roman"/>
                <w:sz w:val="20"/>
                <w:szCs w:val="20"/>
              </w:rPr>
              <w:br/>
              <w:t xml:space="preserve">Legal basis: </w:t>
            </w:r>
            <w:r w:rsidR="00E12ACE" w:rsidRPr="00991A6C">
              <w:rPr>
                <w:rFonts w:asciiTheme="majorHAnsi" w:eastAsia="Times New Roman" w:hAnsiTheme="majorHAnsi" w:cs="Times New Roman"/>
                <w:sz w:val="20"/>
                <w:szCs w:val="20"/>
              </w:rPr>
              <w:t>Article 2</w:t>
            </w:r>
            <w:r w:rsidRPr="00991A6C">
              <w:rPr>
                <w:rFonts w:asciiTheme="majorHAnsi" w:eastAsia="Times New Roman" w:hAnsiTheme="majorHAnsi" w:cs="Times New Roman"/>
                <w:sz w:val="20"/>
                <w:szCs w:val="20"/>
              </w:rPr>
              <w:t xml:space="preserve">5 of </w:t>
            </w:r>
            <w:r w:rsidR="00E12ACE" w:rsidRPr="00991A6C">
              <w:rPr>
                <w:rFonts w:asciiTheme="majorHAnsi" w:eastAsia="Times New Roman" w:hAnsiTheme="majorHAnsi" w:cs="Times New Roman"/>
                <w:sz w:val="20"/>
                <w:szCs w:val="20"/>
              </w:rPr>
              <w:t xml:space="preserve">Regulation (EC) No 45/2001 </w:t>
            </w:r>
            <w:r w:rsidR="00C10F9D" w:rsidRPr="00991A6C">
              <w:rPr>
                <w:rFonts w:asciiTheme="majorHAnsi" w:eastAsia="Times New Roman" w:hAnsiTheme="majorHAnsi" w:cs="Times New Roman"/>
                <w:sz w:val="20"/>
                <w:szCs w:val="20"/>
              </w:rPr>
              <w:t xml:space="preserve">of the </w:t>
            </w:r>
            <w:r w:rsidR="00E12ACE" w:rsidRPr="00991A6C">
              <w:rPr>
                <w:rFonts w:asciiTheme="majorHAnsi" w:eastAsia="Times New Roman" w:hAnsiTheme="majorHAnsi" w:cs="Times New Roman"/>
                <w:sz w:val="20"/>
                <w:szCs w:val="20"/>
              </w:rPr>
              <w:t>European Parliament and of the Council</w:t>
            </w:r>
            <w:r w:rsidR="00C10F9D" w:rsidRPr="00991A6C">
              <w:rPr>
                <w:rFonts w:asciiTheme="majorHAnsi" w:eastAsia="Times New Roman" w:hAnsiTheme="majorHAnsi" w:cs="Times New Roman"/>
                <w:sz w:val="20"/>
                <w:szCs w:val="20"/>
              </w:rPr>
              <w:t xml:space="preserve"> of 18 December 2000 </w:t>
            </w:r>
            <w:r w:rsidR="00E12ACE" w:rsidRPr="00991A6C">
              <w:rPr>
                <w:rFonts w:asciiTheme="majorHAnsi" w:eastAsia="Times New Roman" w:hAnsiTheme="majorHAnsi" w:cs="Times New Roman"/>
                <w:sz w:val="20"/>
                <w:szCs w:val="20"/>
              </w:rPr>
              <w:t>on the protection of individuals with regard to the processing of</w:t>
            </w:r>
            <w:r w:rsidR="00C10F9D" w:rsidRPr="00991A6C">
              <w:rPr>
                <w:rFonts w:asciiTheme="majorHAnsi" w:eastAsia="Times New Roman" w:hAnsiTheme="majorHAnsi" w:cs="Times New Roman"/>
                <w:sz w:val="20"/>
                <w:szCs w:val="20"/>
              </w:rPr>
              <w:t xml:space="preserve"> personal data by the Community </w:t>
            </w:r>
            <w:r w:rsidR="00E12ACE" w:rsidRPr="00991A6C">
              <w:rPr>
                <w:rFonts w:asciiTheme="majorHAnsi" w:eastAsia="Times New Roman" w:hAnsiTheme="majorHAnsi" w:cs="Times New Roman"/>
                <w:sz w:val="20"/>
                <w:szCs w:val="20"/>
              </w:rPr>
              <w:t>institutions and bodies and on the free movement of such data</w:t>
            </w:r>
            <w:r w:rsidR="0004790A" w:rsidRPr="00991A6C">
              <w:rPr>
                <w:rFonts w:asciiTheme="majorHAnsi" w:eastAsia="Times New Roman" w:hAnsiTheme="majorHAnsi" w:cs="Times New Roman"/>
                <w:sz w:val="20"/>
                <w:szCs w:val="20"/>
              </w:rPr>
              <w:t xml:space="preserve"> (</w:t>
            </w:r>
            <w:r w:rsidR="0004790A" w:rsidRPr="00991A6C">
              <w:rPr>
                <w:rFonts w:asciiTheme="majorHAnsi" w:eastAsia="Times New Roman" w:hAnsiTheme="majorHAnsi" w:cs="Times New Roman"/>
                <w:sz w:val="20"/>
                <w:szCs w:val="20"/>
                <w:vertAlign w:val="superscript"/>
              </w:rPr>
              <w:t>1</w:t>
            </w:r>
            <w:r w:rsidR="0004790A" w:rsidRPr="00991A6C">
              <w:rPr>
                <w:rFonts w:asciiTheme="majorHAnsi" w:eastAsia="Times New Roman" w:hAnsiTheme="majorHAnsi" w:cs="Times New Roman"/>
                <w:sz w:val="20"/>
                <w:szCs w:val="20"/>
              </w:rPr>
              <w:t>)</w:t>
            </w:r>
            <w:r w:rsidR="00E12ACE" w:rsidRPr="00991A6C">
              <w:rPr>
                <w:rFonts w:asciiTheme="majorHAnsi" w:eastAsia="Times New Roman" w:hAnsiTheme="majorHAnsi" w:cs="Times New Roman"/>
                <w:sz w:val="14"/>
                <w:szCs w:val="16"/>
              </w:rPr>
              <w:t xml:space="preserve"> </w:t>
            </w:r>
          </w:p>
        </w:tc>
      </w:tr>
      <w:tr w:rsidR="00843933" w:rsidRPr="00991A6C" w14:paraId="15AD12AC" w14:textId="77777777" w:rsidTr="007A02DE">
        <w:trPr>
          <w:trHeight w:val="450"/>
        </w:trPr>
        <w:tc>
          <w:tcPr>
            <w:tcW w:w="951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D5875D5" w14:textId="77777777" w:rsidR="00843933" w:rsidRPr="00991A6C" w:rsidRDefault="00843933" w:rsidP="006E0788">
            <w:pPr>
              <w:spacing w:after="0" w:line="240" w:lineRule="auto"/>
              <w:jc w:val="right"/>
              <w:rPr>
                <w:rFonts w:asciiTheme="majorHAnsi" w:eastAsia="Times New Roman" w:hAnsiTheme="majorHAnsi" w:cs="Times New Roman"/>
                <w:i/>
                <w:iCs/>
                <w:sz w:val="16"/>
                <w:szCs w:val="16"/>
              </w:rPr>
            </w:pPr>
            <w:r w:rsidRPr="00991A6C">
              <w:rPr>
                <w:rFonts w:asciiTheme="majorHAnsi" w:eastAsia="Times New Roman" w:hAnsiTheme="majorHAnsi" w:cs="Times New Roman"/>
                <w:i/>
                <w:iCs/>
                <w:sz w:val="16"/>
                <w:szCs w:val="16"/>
              </w:rPr>
              <w:t>(1) OJ L 8, 12.01.2001</w:t>
            </w:r>
          </w:p>
        </w:tc>
      </w:tr>
    </w:tbl>
    <w:p w14:paraId="2BB1FCFE" w14:textId="77777777" w:rsidR="00843933" w:rsidRPr="00991A6C" w:rsidRDefault="00843933">
      <w:pPr>
        <w:rPr>
          <w:rFonts w:asciiTheme="majorHAnsi" w:hAnsiTheme="majorHAnsi" w:cs="Times New Roman"/>
        </w:rPr>
      </w:pPr>
    </w:p>
    <w:tbl>
      <w:tblPr>
        <w:tblW w:w="9513" w:type="dxa"/>
        <w:tblInd w:w="93" w:type="dxa"/>
        <w:tblLook w:val="04A0" w:firstRow="1" w:lastRow="0" w:firstColumn="1" w:lastColumn="0" w:noHBand="0" w:noVBand="1"/>
      </w:tblPr>
      <w:tblGrid>
        <w:gridCol w:w="9513"/>
      </w:tblGrid>
      <w:tr w:rsidR="00B75A0F" w:rsidRPr="00991A6C" w14:paraId="447BCF31" w14:textId="77777777" w:rsidTr="0056317A">
        <w:trPr>
          <w:trHeight w:val="1200"/>
        </w:trPr>
        <w:tc>
          <w:tcPr>
            <w:tcW w:w="9513" w:type="dxa"/>
            <w:tcBorders>
              <w:top w:val="single" w:sz="4" w:space="0" w:color="auto"/>
              <w:left w:val="single" w:sz="4" w:space="0" w:color="auto"/>
              <w:bottom w:val="nil"/>
              <w:right w:val="single" w:sz="4" w:space="0" w:color="auto"/>
            </w:tcBorders>
            <w:shd w:val="clear" w:color="000000" w:fill="FFFFFF"/>
            <w:vAlign w:val="center"/>
            <w:hideMark/>
          </w:tcPr>
          <w:p w14:paraId="66437210" w14:textId="77777777" w:rsidR="00B75A0F" w:rsidRPr="00991A6C" w:rsidRDefault="00B75A0F" w:rsidP="006E0788">
            <w:pPr>
              <w:spacing w:after="0" w:line="240" w:lineRule="auto"/>
              <w:jc w:val="center"/>
              <w:rPr>
                <w:rFonts w:asciiTheme="majorHAnsi" w:eastAsia="Times New Roman" w:hAnsiTheme="majorHAnsi" w:cs="Times New Roman"/>
                <w:b/>
                <w:bCs/>
                <w:sz w:val="24"/>
                <w:szCs w:val="24"/>
              </w:rPr>
            </w:pPr>
            <w:r w:rsidRPr="00991A6C">
              <w:rPr>
                <w:rFonts w:asciiTheme="majorHAnsi" w:eastAsia="Times New Roman" w:hAnsiTheme="majorHAnsi" w:cs="Times New Roman"/>
                <w:b/>
                <w:bCs/>
                <w:sz w:val="24"/>
                <w:szCs w:val="24"/>
              </w:rPr>
              <w:br/>
              <w:t>INFORMATION TO BE GIVEN</w:t>
            </w:r>
            <w:r w:rsidRPr="00991A6C">
              <w:rPr>
                <w:rFonts w:asciiTheme="majorHAnsi" w:eastAsia="Times New Roman" w:hAnsiTheme="majorHAnsi" w:cs="Times New Roman"/>
                <w:sz w:val="16"/>
                <w:szCs w:val="16"/>
              </w:rPr>
              <w:t>(2)</w:t>
            </w:r>
          </w:p>
        </w:tc>
      </w:tr>
      <w:tr w:rsidR="00B75A0F" w:rsidRPr="00991A6C" w14:paraId="0D934738" w14:textId="77777777" w:rsidTr="0056317A">
        <w:trPr>
          <w:trHeight w:val="255"/>
        </w:trPr>
        <w:tc>
          <w:tcPr>
            <w:tcW w:w="9513" w:type="dxa"/>
            <w:tcBorders>
              <w:top w:val="nil"/>
              <w:left w:val="single" w:sz="4" w:space="0" w:color="auto"/>
              <w:bottom w:val="single" w:sz="4" w:space="0" w:color="auto"/>
              <w:right w:val="single" w:sz="4" w:space="0" w:color="auto"/>
            </w:tcBorders>
            <w:shd w:val="clear" w:color="000000" w:fill="FFFFFF"/>
            <w:vAlign w:val="center"/>
            <w:hideMark/>
          </w:tcPr>
          <w:p w14:paraId="5CC85C8C" w14:textId="77777777" w:rsidR="00B75A0F" w:rsidRPr="00991A6C" w:rsidRDefault="00B75A0F" w:rsidP="006E0788">
            <w:pPr>
              <w:spacing w:after="0" w:line="240" w:lineRule="auto"/>
              <w:jc w:val="right"/>
              <w:rPr>
                <w:rFonts w:asciiTheme="majorHAnsi" w:eastAsia="Times New Roman" w:hAnsiTheme="majorHAnsi" w:cs="Times New Roman"/>
                <w:i/>
                <w:iCs/>
                <w:sz w:val="16"/>
                <w:szCs w:val="16"/>
              </w:rPr>
            </w:pPr>
            <w:r w:rsidRPr="00991A6C">
              <w:rPr>
                <w:rFonts w:asciiTheme="majorHAnsi" w:eastAsia="Times New Roman" w:hAnsiTheme="majorHAnsi" w:cs="Times New Roman"/>
                <w:i/>
                <w:iCs/>
                <w:sz w:val="16"/>
                <w:szCs w:val="16"/>
              </w:rPr>
              <w:t>(2) Please attach all necessary backup documents</w:t>
            </w:r>
          </w:p>
        </w:tc>
      </w:tr>
    </w:tbl>
    <w:tbl>
      <w:tblPr>
        <w:tblStyle w:val="TableGrid"/>
        <w:tblW w:w="9498" w:type="dxa"/>
        <w:tblInd w:w="108" w:type="dxa"/>
        <w:tblLook w:val="04A0" w:firstRow="1" w:lastRow="0" w:firstColumn="1" w:lastColumn="0" w:noHBand="0" w:noVBand="1"/>
      </w:tblPr>
      <w:tblGrid>
        <w:gridCol w:w="9498"/>
      </w:tblGrid>
      <w:tr w:rsidR="00B75A0F" w:rsidRPr="00991A6C" w14:paraId="213E26E0" w14:textId="77777777" w:rsidTr="0056317A">
        <w:tc>
          <w:tcPr>
            <w:tcW w:w="9498" w:type="dxa"/>
          </w:tcPr>
          <w:p w14:paraId="661FF972" w14:textId="77777777" w:rsidR="00B75A0F" w:rsidRPr="00991A6C" w:rsidRDefault="00B75A0F">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1/ Name and address of the controller</w:t>
            </w:r>
          </w:p>
          <w:p w14:paraId="73B17CE7" w14:textId="77777777" w:rsidR="00C22EC0" w:rsidRPr="00991A6C" w:rsidRDefault="00C22EC0" w:rsidP="006E0788">
            <w:pPr>
              <w:jc w:val="both"/>
              <w:rPr>
                <w:rFonts w:asciiTheme="majorHAnsi" w:hAnsiTheme="majorHAnsi" w:cs="Times New Roman"/>
              </w:rPr>
            </w:pPr>
          </w:p>
          <w:p w14:paraId="7B1198BC" w14:textId="6E229BC2" w:rsidR="006E0788" w:rsidRPr="009D6A9D" w:rsidRDefault="006E0788" w:rsidP="002F52AA">
            <w:pPr>
              <w:rPr>
                <w:rFonts w:asciiTheme="majorHAnsi" w:eastAsia="Times New Roman" w:hAnsiTheme="majorHAnsi" w:cs="Times New Roman"/>
                <w:bCs/>
                <w:szCs w:val="20"/>
              </w:rPr>
            </w:pPr>
            <w:r w:rsidRPr="009D6A9D">
              <w:rPr>
                <w:rFonts w:asciiTheme="majorHAnsi" w:eastAsia="Times New Roman" w:hAnsiTheme="majorHAnsi" w:cs="Times New Roman"/>
                <w:bCs/>
                <w:szCs w:val="20"/>
              </w:rPr>
              <w:t>Agency for the Cooperation of Energy Regulators</w:t>
            </w:r>
            <w:r w:rsidR="00991A6C" w:rsidRPr="009D6A9D">
              <w:rPr>
                <w:rFonts w:asciiTheme="majorHAnsi" w:eastAsia="Times New Roman" w:hAnsiTheme="majorHAnsi" w:cs="Times New Roman"/>
                <w:bCs/>
                <w:szCs w:val="20"/>
              </w:rPr>
              <w:t xml:space="preserve"> (</w:t>
            </w:r>
            <w:r w:rsidR="004271E8" w:rsidRPr="009D6A9D">
              <w:rPr>
                <w:rFonts w:asciiTheme="majorHAnsi" w:eastAsia="Times New Roman" w:hAnsiTheme="majorHAnsi" w:cs="Times New Roman"/>
                <w:bCs/>
                <w:szCs w:val="20"/>
              </w:rPr>
              <w:t xml:space="preserve">the </w:t>
            </w:r>
            <w:r w:rsidR="00991A6C" w:rsidRPr="009D6A9D">
              <w:rPr>
                <w:rFonts w:asciiTheme="majorHAnsi" w:eastAsia="Times New Roman" w:hAnsiTheme="majorHAnsi" w:cs="Times New Roman"/>
                <w:bCs/>
                <w:szCs w:val="20"/>
              </w:rPr>
              <w:t>“</w:t>
            </w:r>
            <w:r w:rsidR="004271E8" w:rsidRPr="009D6A9D">
              <w:rPr>
                <w:rFonts w:asciiTheme="majorHAnsi" w:eastAsia="Times New Roman" w:hAnsiTheme="majorHAnsi" w:cs="Times New Roman"/>
                <w:bCs/>
                <w:szCs w:val="20"/>
              </w:rPr>
              <w:t>Agency”)</w:t>
            </w:r>
          </w:p>
          <w:p w14:paraId="6D1D5702" w14:textId="77777777" w:rsidR="006E0788" w:rsidRPr="009D6A9D" w:rsidRDefault="006E0788" w:rsidP="002F52AA">
            <w:pPr>
              <w:rPr>
                <w:rFonts w:asciiTheme="majorHAnsi" w:eastAsia="Times New Roman" w:hAnsiTheme="majorHAnsi" w:cs="Times New Roman"/>
                <w:bCs/>
                <w:szCs w:val="20"/>
              </w:rPr>
            </w:pPr>
            <w:proofErr w:type="spellStart"/>
            <w:r w:rsidRPr="009D6A9D">
              <w:rPr>
                <w:rFonts w:asciiTheme="majorHAnsi" w:eastAsia="Times New Roman" w:hAnsiTheme="majorHAnsi" w:cs="Times New Roman"/>
                <w:bCs/>
                <w:szCs w:val="20"/>
              </w:rPr>
              <w:t>Trg</w:t>
            </w:r>
            <w:proofErr w:type="spellEnd"/>
            <w:r w:rsidRPr="009D6A9D">
              <w:rPr>
                <w:rFonts w:asciiTheme="majorHAnsi" w:eastAsia="Times New Roman" w:hAnsiTheme="majorHAnsi" w:cs="Times New Roman"/>
                <w:bCs/>
                <w:szCs w:val="20"/>
              </w:rPr>
              <w:t xml:space="preserve"> </w:t>
            </w:r>
            <w:proofErr w:type="spellStart"/>
            <w:r w:rsidRPr="009D6A9D">
              <w:rPr>
                <w:rFonts w:asciiTheme="majorHAnsi" w:eastAsia="Times New Roman" w:hAnsiTheme="majorHAnsi" w:cs="Times New Roman"/>
                <w:bCs/>
                <w:szCs w:val="20"/>
              </w:rPr>
              <w:t>republike</w:t>
            </w:r>
            <w:proofErr w:type="spellEnd"/>
            <w:r w:rsidRPr="009D6A9D">
              <w:rPr>
                <w:rFonts w:asciiTheme="majorHAnsi" w:eastAsia="Times New Roman" w:hAnsiTheme="majorHAnsi" w:cs="Times New Roman"/>
                <w:bCs/>
                <w:szCs w:val="20"/>
              </w:rPr>
              <w:t xml:space="preserve"> 3</w:t>
            </w:r>
          </w:p>
          <w:p w14:paraId="199FEB87" w14:textId="77777777" w:rsidR="006E0788" w:rsidRPr="009D6A9D" w:rsidRDefault="006E0788" w:rsidP="002F52AA">
            <w:pPr>
              <w:rPr>
                <w:rFonts w:asciiTheme="majorHAnsi" w:eastAsia="Times New Roman" w:hAnsiTheme="majorHAnsi" w:cs="Times New Roman"/>
                <w:bCs/>
                <w:szCs w:val="20"/>
              </w:rPr>
            </w:pPr>
            <w:r w:rsidRPr="009D6A9D">
              <w:rPr>
                <w:rFonts w:asciiTheme="majorHAnsi" w:eastAsia="Times New Roman" w:hAnsiTheme="majorHAnsi" w:cs="Times New Roman"/>
                <w:bCs/>
                <w:szCs w:val="20"/>
              </w:rPr>
              <w:t>1000 – Ljubljana</w:t>
            </w:r>
          </w:p>
          <w:p w14:paraId="271B6100" w14:textId="40BE46DB" w:rsidR="006E0788" w:rsidRPr="009D6A9D" w:rsidRDefault="006E0788" w:rsidP="002F52AA">
            <w:pPr>
              <w:rPr>
                <w:rFonts w:asciiTheme="majorHAnsi" w:eastAsia="Times New Roman" w:hAnsiTheme="majorHAnsi" w:cs="Times New Roman"/>
                <w:bCs/>
                <w:szCs w:val="20"/>
              </w:rPr>
            </w:pPr>
            <w:r w:rsidRPr="009D6A9D">
              <w:rPr>
                <w:rFonts w:asciiTheme="majorHAnsi" w:eastAsia="Times New Roman" w:hAnsiTheme="majorHAnsi" w:cs="Times New Roman"/>
                <w:bCs/>
                <w:szCs w:val="20"/>
              </w:rPr>
              <w:t>Slovenia</w:t>
            </w:r>
          </w:p>
          <w:p w14:paraId="6065175D" w14:textId="77777777" w:rsidR="006E0788" w:rsidRPr="00991A6C" w:rsidRDefault="006E0788">
            <w:pPr>
              <w:rPr>
                <w:rFonts w:asciiTheme="majorHAnsi" w:hAnsiTheme="majorHAnsi" w:cs="Times New Roman"/>
              </w:rPr>
            </w:pPr>
          </w:p>
        </w:tc>
      </w:tr>
      <w:tr w:rsidR="00B75A0F" w:rsidRPr="00991A6C" w14:paraId="525F8E56" w14:textId="77777777" w:rsidTr="0056317A">
        <w:tc>
          <w:tcPr>
            <w:tcW w:w="9498" w:type="dxa"/>
          </w:tcPr>
          <w:p w14:paraId="68661BEA" w14:textId="53DCD2DD" w:rsidR="00C22EC0" w:rsidRPr="00991A6C" w:rsidRDefault="00B75A0F" w:rsidP="00443F5B">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xml:space="preserve"> 2/ </w:t>
            </w:r>
            <w:proofErr w:type="spellStart"/>
            <w:r w:rsidRPr="00991A6C">
              <w:rPr>
                <w:rFonts w:asciiTheme="majorHAnsi" w:eastAsia="Times New Roman" w:hAnsiTheme="majorHAnsi" w:cs="Times New Roman"/>
                <w:b/>
                <w:bCs/>
                <w:sz w:val="20"/>
                <w:szCs w:val="20"/>
              </w:rPr>
              <w:t>Organisational</w:t>
            </w:r>
            <w:proofErr w:type="spellEnd"/>
            <w:r w:rsidRPr="00991A6C">
              <w:rPr>
                <w:rFonts w:asciiTheme="majorHAnsi" w:eastAsia="Times New Roman" w:hAnsiTheme="majorHAnsi" w:cs="Times New Roman"/>
                <w:b/>
                <w:bCs/>
                <w:sz w:val="20"/>
                <w:szCs w:val="20"/>
              </w:rPr>
              <w:t xml:space="preserve"> parts of the institution or body entrusted with the processing of personal data</w:t>
            </w:r>
            <w:r w:rsidR="006E0788" w:rsidRPr="00991A6C">
              <w:rPr>
                <w:rFonts w:asciiTheme="majorHAnsi" w:eastAsia="Times New Roman" w:hAnsiTheme="majorHAnsi" w:cs="Times New Roman"/>
                <w:b/>
                <w:bCs/>
                <w:sz w:val="20"/>
                <w:szCs w:val="20"/>
              </w:rPr>
              <w:t xml:space="preserve"> </w:t>
            </w:r>
          </w:p>
          <w:p w14:paraId="3049D738" w14:textId="77777777" w:rsidR="00C22EC0" w:rsidRPr="00991A6C" w:rsidRDefault="00C22EC0" w:rsidP="00443F5B">
            <w:pPr>
              <w:rPr>
                <w:rFonts w:asciiTheme="majorHAnsi" w:eastAsia="Times New Roman" w:hAnsiTheme="majorHAnsi" w:cs="Times New Roman"/>
                <w:b/>
                <w:bCs/>
                <w:sz w:val="20"/>
                <w:szCs w:val="20"/>
              </w:rPr>
            </w:pPr>
          </w:p>
          <w:p w14:paraId="47358807" w14:textId="05751B92" w:rsidR="002A77AC" w:rsidRPr="00991A6C" w:rsidRDefault="00991A6C" w:rsidP="00991A6C">
            <w:pPr>
              <w:rPr>
                <w:rFonts w:asciiTheme="majorHAnsi" w:hAnsiTheme="majorHAnsi" w:cs="Times New Roman"/>
              </w:rPr>
            </w:pPr>
            <w:r w:rsidRPr="00991A6C">
              <w:rPr>
                <w:rFonts w:asciiTheme="majorHAnsi" w:hAnsiTheme="majorHAnsi" w:cs="Times New Roman"/>
              </w:rPr>
              <w:t xml:space="preserve">The department responsible for internally managing the processing operation is: </w:t>
            </w:r>
            <w:r w:rsidR="0019587A">
              <w:rPr>
                <w:rFonts w:asciiTheme="majorHAnsi" w:hAnsiTheme="majorHAnsi" w:cs="Times New Roman"/>
              </w:rPr>
              <w:t>Administration Department, and within that department more specifically Human Resources section.</w:t>
            </w:r>
          </w:p>
          <w:p w14:paraId="773B71F3" w14:textId="77777777" w:rsidR="00991A6C" w:rsidRPr="00991A6C" w:rsidRDefault="00991A6C" w:rsidP="00991A6C">
            <w:pPr>
              <w:rPr>
                <w:rFonts w:asciiTheme="majorHAnsi" w:hAnsiTheme="majorHAnsi" w:cs="Times New Roman"/>
              </w:rPr>
            </w:pPr>
          </w:p>
          <w:p w14:paraId="7B55D2F3" w14:textId="77777777" w:rsidR="00991A6C" w:rsidRDefault="00991A6C" w:rsidP="003E05D9">
            <w:pPr>
              <w:rPr>
                <w:rFonts w:asciiTheme="majorHAnsi" w:hAnsiTheme="majorHAnsi" w:cs="Times New Roman"/>
              </w:rPr>
            </w:pPr>
            <w:r w:rsidRPr="00991A6C">
              <w:rPr>
                <w:rFonts w:asciiTheme="majorHAnsi" w:hAnsiTheme="majorHAnsi" w:cs="Times New Roman"/>
              </w:rPr>
              <w:t xml:space="preserve">The contact person for this processing operation is: </w:t>
            </w:r>
          </w:p>
          <w:p w14:paraId="268AB17C" w14:textId="569350E6" w:rsidR="0019587A" w:rsidRDefault="0019587A" w:rsidP="0019587A">
            <w:pPr>
              <w:rPr>
                <w:rFonts w:asciiTheme="majorHAnsi" w:hAnsiTheme="majorHAnsi" w:cs="Times New Roman"/>
              </w:rPr>
            </w:pPr>
            <w:proofErr w:type="spellStart"/>
            <w:r>
              <w:rPr>
                <w:rFonts w:asciiTheme="majorHAnsi" w:hAnsiTheme="majorHAnsi" w:cs="Times New Roman"/>
              </w:rPr>
              <w:t>M</w:t>
            </w:r>
            <w:r w:rsidR="00F11E6E">
              <w:rPr>
                <w:rFonts w:asciiTheme="majorHAnsi" w:hAnsiTheme="majorHAnsi" w:cs="Times New Roman"/>
              </w:rPr>
              <w:t>r</w:t>
            </w:r>
            <w:proofErr w:type="spellEnd"/>
            <w:r>
              <w:rPr>
                <w:rFonts w:asciiTheme="majorHAnsi" w:hAnsiTheme="majorHAnsi" w:cs="Times New Roman"/>
              </w:rPr>
              <w:t xml:space="preserve"> </w:t>
            </w:r>
            <w:r w:rsidR="00F11E6E">
              <w:rPr>
                <w:rFonts w:asciiTheme="majorHAnsi" w:hAnsiTheme="majorHAnsi" w:cs="Times New Roman"/>
              </w:rPr>
              <w:t xml:space="preserve">Jakub </w:t>
            </w:r>
            <w:proofErr w:type="spellStart"/>
            <w:r w:rsidR="00F11E6E">
              <w:rPr>
                <w:rFonts w:asciiTheme="majorHAnsi" w:hAnsiTheme="majorHAnsi" w:cs="Times New Roman"/>
              </w:rPr>
              <w:t>Walczak</w:t>
            </w:r>
            <w:proofErr w:type="spellEnd"/>
            <w:r w:rsidR="00F11E6E">
              <w:rPr>
                <w:rFonts w:asciiTheme="majorHAnsi" w:hAnsiTheme="majorHAnsi" w:cs="Times New Roman"/>
              </w:rPr>
              <w:t>, Human Resources Officer</w:t>
            </w:r>
          </w:p>
          <w:p w14:paraId="31C7A99B" w14:textId="77777777" w:rsidR="0019587A" w:rsidRDefault="0019587A" w:rsidP="0019587A">
            <w:pPr>
              <w:rPr>
                <w:rFonts w:asciiTheme="majorHAnsi" w:hAnsiTheme="majorHAnsi" w:cs="Times New Roman"/>
              </w:rPr>
            </w:pPr>
            <w:r>
              <w:rPr>
                <w:rFonts w:asciiTheme="majorHAnsi" w:hAnsiTheme="majorHAnsi" w:cs="Times New Roman"/>
              </w:rPr>
              <w:t>Agency for the Cooperation of Energy Regulators (ACER)</w:t>
            </w:r>
          </w:p>
          <w:p w14:paraId="639DBBC8" w14:textId="77777777" w:rsidR="0019587A" w:rsidRDefault="0019587A" w:rsidP="0019587A">
            <w:pPr>
              <w:rPr>
                <w:rFonts w:asciiTheme="majorHAnsi" w:hAnsiTheme="majorHAnsi" w:cs="Times New Roman"/>
              </w:rPr>
            </w:pPr>
            <w:proofErr w:type="spellStart"/>
            <w:r>
              <w:rPr>
                <w:rFonts w:asciiTheme="majorHAnsi" w:hAnsiTheme="majorHAnsi" w:cs="Times New Roman"/>
              </w:rPr>
              <w:t>Trg</w:t>
            </w:r>
            <w:proofErr w:type="spellEnd"/>
            <w:r>
              <w:rPr>
                <w:rFonts w:asciiTheme="majorHAnsi" w:hAnsiTheme="majorHAnsi" w:cs="Times New Roman"/>
              </w:rPr>
              <w:t xml:space="preserve"> </w:t>
            </w:r>
            <w:proofErr w:type="spellStart"/>
            <w:r>
              <w:rPr>
                <w:rFonts w:asciiTheme="majorHAnsi" w:hAnsiTheme="majorHAnsi" w:cs="Times New Roman"/>
              </w:rPr>
              <w:t>republike</w:t>
            </w:r>
            <w:proofErr w:type="spellEnd"/>
            <w:r>
              <w:rPr>
                <w:rFonts w:asciiTheme="majorHAnsi" w:hAnsiTheme="majorHAnsi" w:cs="Times New Roman"/>
              </w:rPr>
              <w:t xml:space="preserve"> 3, SI-1000 Ljubljana, Slovenia</w:t>
            </w:r>
          </w:p>
          <w:p w14:paraId="058FC1FE" w14:textId="40F24997" w:rsidR="0019587A" w:rsidRDefault="0019587A" w:rsidP="0019587A">
            <w:pPr>
              <w:rPr>
                <w:rFonts w:asciiTheme="majorHAnsi" w:hAnsiTheme="majorHAnsi" w:cs="Times New Roman"/>
              </w:rPr>
            </w:pPr>
            <w:r>
              <w:rPr>
                <w:rFonts w:asciiTheme="majorHAnsi" w:hAnsiTheme="majorHAnsi" w:cs="Times New Roman"/>
              </w:rPr>
              <w:t xml:space="preserve">E-mail: </w:t>
            </w:r>
            <w:hyperlink r:id="rId8" w:history="1">
              <w:r w:rsidR="00F11E6E" w:rsidRPr="00915CFB">
                <w:rPr>
                  <w:rStyle w:val="Hyperlink"/>
                  <w:rFonts w:asciiTheme="majorHAnsi" w:hAnsiTheme="majorHAnsi" w:cs="Times New Roman"/>
                </w:rPr>
                <w:t>jakub.walczak@acer.europa.eu</w:t>
              </w:r>
            </w:hyperlink>
          </w:p>
          <w:p w14:paraId="0224ABBB" w14:textId="0FDFA5FF" w:rsidR="0019587A" w:rsidRDefault="0019587A" w:rsidP="0019587A">
            <w:pPr>
              <w:rPr>
                <w:rFonts w:asciiTheme="majorHAnsi" w:hAnsiTheme="majorHAnsi" w:cs="Times New Roman"/>
              </w:rPr>
            </w:pPr>
            <w:r>
              <w:rPr>
                <w:rFonts w:asciiTheme="majorHAnsi" w:hAnsiTheme="majorHAnsi" w:cs="Times New Roman"/>
              </w:rPr>
              <w:t xml:space="preserve">Phone: +386 (0) 820 53 </w:t>
            </w:r>
            <w:r w:rsidR="00F11E6E">
              <w:rPr>
                <w:rFonts w:asciiTheme="majorHAnsi" w:hAnsiTheme="majorHAnsi" w:cs="Times New Roman"/>
              </w:rPr>
              <w:t>395</w:t>
            </w:r>
          </w:p>
          <w:p w14:paraId="22FCAC02" w14:textId="78AF622A" w:rsidR="0019587A" w:rsidRPr="00991A6C" w:rsidRDefault="0019587A" w:rsidP="0019587A">
            <w:pPr>
              <w:rPr>
                <w:rFonts w:asciiTheme="majorHAnsi" w:hAnsiTheme="majorHAnsi" w:cs="Times New Roman"/>
              </w:rPr>
            </w:pPr>
          </w:p>
        </w:tc>
      </w:tr>
      <w:tr w:rsidR="00B75A0F" w:rsidRPr="00991A6C" w14:paraId="4F012052" w14:textId="77777777" w:rsidTr="0056317A">
        <w:tc>
          <w:tcPr>
            <w:tcW w:w="9498" w:type="dxa"/>
          </w:tcPr>
          <w:p w14:paraId="36E44944" w14:textId="77777777" w:rsidR="00B75A0F" w:rsidRPr="00991A6C" w:rsidRDefault="00B75A0F" w:rsidP="00D87A5A">
            <w:pPr>
              <w:jc w:val="both"/>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lastRenderedPageBreak/>
              <w:t> 3/ Name of the processing</w:t>
            </w:r>
            <w:r w:rsidR="006E0788" w:rsidRPr="00991A6C">
              <w:rPr>
                <w:rFonts w:asciiTheme="majorHAnsi" w:eastAsia="Times New Roman" w:hAnsiTheme="majorHAnsi" w:cs="Times New Roman"/>
                <w:b/>
                <w:bCs/>
                <w:sz w:val="20"/>
                <w:szCs w:val="20"/>
              </w:rPr>
              <w:t xml:space="preserve"> </w:t>
            </w:r>
          </w:p>
          <w:p w14:paraId="6EDB8F3D" w14:textId="77777777" w:rsidR="00825202" w:rsidRPr="00991A6C" w:rsidRDefault="00825202" w:rsidP="00D87A5A">
            <w:pPr>
              <w:jc w:val="both"/>
              <w:rPr>
                <w:rFonts w:asciiTheme="majorHAnsi" w:eastAsia="Times New Roman" w:hAnsiTheme="majorHAnsi" w:cs="Times New Roman"/>
                <w:bCs/>
                <w:sz w:val="20"/>
                <w:szCs w:val="20"/>
              </w:rPr>
            </w:pPr>
          </w:p>
          <w:p w14:paraId="457AC0A8" w14:textId="02082157" w:rsidR="00092E9F" w:rsidRDefault="0019587A" w:rsidP="00D87A5A">
            <w:pPr>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Disclosure of Selection Committee members</w:t>
            </w:r>
            <w:r w:rsidR="00B342AE">
              <w:rPr>
                <w:rFonts w:asciiTheme="majorHAnsi" w:eastAsia="Times New Roman" w:hAnsiTheme="majorHAnsi" w:cs="Times New Roman"/>
                <w:bCs/>
                <w:sz w:val="20"/>
                <w:szCs w:val="20"/>
              </w:rPr>
              <w:t>’ names</w:t>
            </w:r>
            <w:r>
              <w:rPr>
                <w:rFonts w:asciiTheme="majorHAnsi" w:eastAsia="Times New Roman" w:hAnsiTheme="majorHAnsi" w:cs="Times New Roman"/>
                <w:bCs/>
                <w:sz w:val="20"/>
                <w:szCs w:val="20"/>
              </w:rPr>
              <w:t xml:space="preserve"> to candidates in selection procedures.</w:t>
            </w:r>
            <w:r w:rsidR="00991A6C" w:rsidRPr="00991A6C">
              <w:rPr>
                <w:rFonts w:asciiTheme="majorHAnsi" w:eastAsia="Times New Roman" w:hAnsiTheme="majorHAnsi" w:cs="Times New Roman"/>
                <w:bCs/>
                <w:sz w:val="20"/>
                <w:szCs w:val="20"/>
              </w:rPr>
              <w:t xml:space="preserve"> </w:t>
            </w:r>
          </w:p>
          <w:p w14:paraId="0FCD389A" w14:textId="77777777" w:rsidR="002A77AC" w:rsidRPr="00991A6C" w:rsidRDefault="002A77AC" w:rsidP="0019587A">
            <w:pPr>
              <w:jc w:val="both"/>
              <w:rPr>
                <w:rFonts w:asciiTheme="majorHAnsi" w:hAnsiTheme="majorHAnsi" w:cs="Times New Roman"/>
              </w:rPr>
            </w:pPr>
          </w:p>
        </w:tc>
      </w:tr>
      <w:tr w:rsidR="00B75A0F" w:rsidRPr="00991A6C" w14:paraId="6EF5C8A0" w14:textId="77777777" w:rsidTr="0056317A">
        <w:tc>
          <w:tcPr>
            <w:tcW w:w="9498" w:type="dxa"/>
          </w:tcPr>
          <w:p w14:paraId="7941C25A" w14:textId="77777777" w:rsidR="00D7093E" w:rsidRPr="00991A6C" w:rsidRDefault="00B75A0F" w:rsidP="00D87A5A">
            <w:pPr>
              <w:jc w:val="both"/>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4/ Purpose or purposes of the processing</w:t>
            </w:r>
          </w:p>
          <w:p w14:paraId="6AC9EB5B" w14:textId="77777777" w:rsidR="00FE773B" w:rsidRPr="00991A6C" w:rsidRDefault="00FE773B" w:rsidP="00D87A5A">
            <w:pPr>
              <w:jc w:val="both"/>
              <w:rPr>
                <w:rFonts w:asciiTheme="majorHAnsi" w:eastAsia="Times New Roman" w:hAnsiTheme="majorHAnsi" w:cs="Times New Roman"/>
                <w:b/>
                <w:bCs/>
                <w:sz w:val="20"/>
                <w:szCs w:val="20"/>
              </w:rPr>
            </w:pPr>
          </w:p>
          <w:p w14:paraId="281958BB" w14:textId="086FB8CE" w:rsidR="00B342AE" w:rsidRDefault="00B9628E" w:rsidP="00BD6B74">
            <w:pPr>
              <w:pStyle w:val="Default"/>
              <w:jc w:val="both"/>
              <w:rPr>
                <w:rFonts w:asciiTheme="majorHAnsi" w:eastAsia="Times New Roman" w:hAnsiTheme="majorHAnsi"/>
                <w:bCs/>
                <w:color w:val="auto"/>
                <w:sz w:val="20"/>
                <w:szCs w:val="20"/>
              </w:rPr>
            </w:pPr>
            <w:r>
              <w:rPr>
                <w:rFonts w:asciiTheme="majorHAnsi" w:eastAsia="Times New Roman" w:hAnsiTheme="majorHAnsi"/>
                <w:bCs/>
                <w:color w:val="auto"/>
                <w:sz w:val="20"/>
                <w:szCs w:val="20"/>
              </w:rPr>
              <w:t>The p</w:t>
            </w:r>
            <w:r w:rsidR="00D51978">
              <w:rPr>
                <w:rFonts w:asciiTheme="majorHAnsi" w:eastAsia="Times New Roman" w:hAnsiTheme="majorHAnsi"/>
                <w:bCs/>
                <w:color w:val="auto"/>
                <w:sz w:val="20"/>
                <w:szCs w:val="20"/>
              </w:rPr>
              <w:t xml:space="preserve">urpose of disclosing </w:t>
            </w:r>
            <w:r w:rsidR="00CE2B32">
              <w:rPr>
                <w:rFonts w:asciiTheme="majorHAnsi" w:eastAsia="Times New Roman" w:hAnsiTheme="majorHAnsi"/>
                <w:bCs/>
                <w:color w:val="auto"/>
                <w:sz w:val="20"/>
                <w:szCs w:val="20"/>
              </w:rPr>
              <w:t xml:space="preserve">names of the Selection Committee members to </w:t>
            </w:r>
            <w:r>
              <w:rPr>
                <w:rFonts w:asciiTheme="majorHAnsi" w:eastAsia="Times New Roman" w:hAnsiTheme="majorHAnsi"/>
                <w:bCs/>
                <w:color w:val="auto"/>
                <w:sz w:val="20"/>
                <w:szCs w:val="20"/>
              </w:rPr>
              <w:t xml:space="preserve">all </w:t>
            </w:r>
            <w:r w:rsidR="00CE2B32">
              <w:rPr>
                <w:rFonts w:asciiTheme="majorHAnsi" w:eastAsia="Times New Roman" w:hAnsiTheme="majorHAnsi"/>
                <w:bCs/>
                <w:color w:val="auto"/>
                <w:sz w:val="20"/>
                <w:szCs w:val="20"/>
              </w:rPr>
              <w:t>candidates</w:t>
            </w:r>
            <w:r>
              <w:rPr>
                <w:rFonts w:asciiTheme="majorHAnsi" w:eastAsia="Times New Roman" w:hAnsiTheme="majorHAnsi"/>
                <w:bCs/>
                <w:color w:val="auto"/>
                <w:sz w:val="20"/>
                <w:szCs w:val="20"/>
              </w:rPr>
              <w:t xml:space="preserve"> </w:t>
            </w:r>
            <w:r w:rsidR="00B342AE">
              <w:rPr>
                <w:rFonts w:asciiTheme="majorHAnsi" w:eastAsia="Times New Roman" w:hAnsiTheme="majorHAnsi"/>
                <w:bCs/>
                <w:color w:val="auto"/>
                <w:sz w:val="20"/>
                <w:szCs w:val="20"/>
              </w:rPr>
              <w:t>in</w:t>
            </w:r>
            <w:r w:rsidR="00CE2B32">
              <w:rPr>
                <w:rFonts w:asciiTheme="majorHAnsi" w:eastAsia="Times New Roman" w:hAnsiTheme="majorHAnsi"/>
                <w:bCs/>
                <w:color w:val="auto"/>
                <w:sz w:val="20"/>
                <w:szCs w:val="20"/>
              </w:rPr>
              <w:t xml:space="preserve"> selection procedure</w:t>
            </w:r>
            <w:r w:rsidR="00B342AE">
              <w:rPr>
                <w:rFonts w:asciiTheme="majorHAnsi" w:eastAsia="Times New Roman" w:hAnsiTheme="majorHAnsi"/>
                <w:bCs/>
                <w:color w:val="auto"/>
                <w:sz w:val="20"/>
                <w:szCs w:val="20"/>
              </w:rPr>
              <w:t>s</w:t>
            </w:r>
            <w:r w:rsidR="00CE2B32">
              <w:rPr>
                <w:rFonts w:asciiTheme="majorHAnsi" w:eastAsia="Times New Roman" w:hAnsiTheme="majorHAnsi"/>
                <w:bCs/>
                <w:color w:val="auto"/>
                <w:sz w:val="20"/>
                <w:szCs w:val="20"/>
              </w:rPr>
              <w:t xml:space="preserve"> is to </w:t>
            </w:r>
            <w:r>
              <w:rPr>
                <w:rFonts w:asciiTheme="majorHAnsi" w:eastAsia="Times New Roman" w:hAnsiTheme="majorHAnsi"/>
                <w:bCs/>
                <w:color w:val="auto"/>
                <w:sz w:val="20"/>
                <w:szCs w:val="20"/>
              </w:rPr>
              <w:t>ensure the transparency</w:t>
            </w:r>
            <w:r w:rsidR="00B342AE">
              <w:rPr>
                <w:rFonts w:asciiTheme="majorHAnsi" w:eastAsia="Times New Roman" w:hAnsiTheme="majorHAnsi"/>
                <w:bCs/>
                <w:color w:val="auto"/>
                <w:sz w:val="20"/>
                <w:szCs w:val="20"/>
              </w:rPr>
              <w:t>, integrity</w:t>
            </w:r>
            <w:r>
              <w:rPr>
                <w:rFonts w:asciiTheme="majorHAnsi" w:eastAsia="Times New Roman" w:hAnsiTheme="majorHAnsi"/>
                <w:bCs/>
                <w:color w:val="auto"/>
                <w:sz w:val="20"/>
                <w:szCs w:val="20"/>
              </w:rPr>
              <w:t xml:space="preserve"> and objectivity of selection procedure</w:t>
            </w:r>
            <w:r w:rsidR="00B342AE">
              <w:rPr>
                <w:rFonts w:asciiTheme="majorHAnsi" w:eastAsia="Times New Roman" w:hAnsiTheme="majorHAnsi"/>
                <w:bCs/>
                <w:color w:val="auto"/>
                <w:sz w:val="20"/>
                <w:szCs w:val="20"/>
              </w:rPr>
              <w:t>s</w:t>
            </w:r>
            <w:r>
              <w:rPr>
                <w:rFonts w:asciiTheme="majorHAnsi" w:eastAsia="Times New Roman" w:hAnsiTheme="majorHAnsi"/>
                <w:bCs/>
                <w:color w:val="auto"/>
                <w:sz w:val="20"/>
                <w:szCs w:val="20"/>
              </w:rPr>
              <w:t xml:space="preserve">. </w:t>
            </w:r>
          </w:p>
          <w:p w14:paraId="5EDCD393" w14:textId="77777777" w:rsidR="00B342AE" w:rsidRDefault="00B342AE" w:rsidP="00BD6B74">
            <w:pPr>
              <w:pStyle w:val="Default"/>
              <w:jc w:val="both"/>
              <w:rPr>
                <w:rFonts w:asciiTheme="majorHAnsi" w:eastAsia="Times New Roman" w:hAnsiTheme="majorHAnsi"/>
                <w:bCs/>
                <w:color w:val="auto"/>
                <w:sz w:val="20"/>
                <w:szCs w:val="20"/>
              </w:rPr>
            </w:pPr>
          </w:p>
          <w:p w14:paraId="65B9CC78" w14:textId="0AC59513" w:rsidR="00786181" w:rsidRDefault="00B342AE" w:rsidP="00BD6B74">
            <w:pPr>
              <w:pStyle w:val="Default"/>
              <w:jc w:val="both"/>
              <w:rPr>
                <w:rFonts w:asciiTheme="majorHAnsi" w:eastAsia="Times New Roman" w:hAnsiTheme="majorHAnsi"/>
                <w:bCs/>
                <w:color w:val="auto"/>
                <w:sz w:val="20"/>
                <w:szCs w:val="20"/>
              </w:rPr>
            </w:pPr>
            <w:r>
              <w:rPr>
                <w:rFonts w:asciiTheme="majorHAnsi" w:eastAsia="Times New Roman" w:hAnsiTheme="majorHAnsi"/>
                <w:bCs/>
                <w:color w:val="auto"/>
                <w:sz w:val="20"/>
                <w:szCs w:val="20"/>
              </w:rPr>
              <w:t>Further, the European Ombudsman published Good Practice Guidelines</w:t>
            </w:r>
            <w:r>
              <w:rPr>
                <w:rStyle w:val="FootnoteReference"/>
                <w:rFonts w:asciiTheme="majorHAnsi" w:eastAsia="Times New Roman" w:hAnsiTheme="majorHAnsi"/>
                <w:bCs/>
                <w:color w:val="auto"/>
                <w:sz w:val="20"/>
                <w:szCs w:val="20"/>
              </w:rPr>
              <w:footnoteReference w:id="1"/>
            </w:r>
            <w:r>
              <w:rPr>
                <w:rFonts w:asciiTheme="majorHAnsi" w:eastAsia="Times New Roman" w:hAnsiTheme="majorHAnsi"/>
                <w:bCs/>
                <w:color w:val="auto"/>
                <w:sz w:val="20"/>
                <w:szCs w:val="20"/>
              </w:rPr>
              <w:t xml:space="preserve"> regarding disclosure of the names of selection board members on 16 May 2014 following an own-initiative inquiry into practices at EU Agencies.  Pursuant to Guideline 2(8), “[</w:t>
            </w:r>
            <w:proofErr w:type="spellStart"/>
            <w:r>
              <w:rPr>
                <w:rFonts w:asciiTheme="majorHAnsi" w:eastAsia="Times New Roman" w:hAnsiTheme="majorHAnsi"/>
                <w:bCs/>
                <w:color w:val="auto"/>
                <w:sz w:val="20"/>
                <w:szCs w:val="20"/>
              </w:rPr>
              <w:t>i</w:t>
            </w:r>
            <w:proofErr w:type="spellEnd"/>
            <w:r>
              <w:rPr>
                <w:rFonts w:asciiTheme="majorHAnsi" w:eastAsia="Times New Roman" w:hAnsiTheme="majorHAnsi"/>
                <w:bCs/>
                <w:color w:val="auto"/>
                <w:sz w:val="20"/>
                <w:szCs w:val="20"/>
              </w:rPr>
              <w:t>]</w:t>
            </w:r>
            <w:r w:rsidRPr="007A2E16">
              <w:rPr>
                <w:rFonts w:asciiTheme="majorHAnsi" w:eastAsia="Times New Roman" w:hAnsiTheme="majorHAnsi"/>
                <w:bCs/>
                <w:color w:val="auto"/>
                <w:sz w:val="20"/>
                <w:szCs w:val="20"/>
              </w:rPr>
              <w:t>t is good administrative practice to inform all candidates of the composition of the selection board by letter or by other appropriate means, such as information sheets, e-mails, e-recruitment messages. The information regarding the composition of the selection board should be provided to candidates in good time, for instance in the letter acknowledging receipt of their application, and at the latest together with the information regarding the outcome of their application.”</w:t>
            </w:r>
            <w:r w:rsidR="00B9628E">
              <w:rPr>
                <w:rFonts w:asciiTheme="majorHAnsi" w:eastAsia="Times New Roman" w:hAnsiTheme="majorHAnsi"/>
                <w:bCs/>
                <w:color w:val="auto"/>
                <w:sz w:val="20"/>
                <w:szCs w:val="20"/>
              </w:rPr>
              <w:t xml:space="preserve"> </w:t>
            </w:r>
          </w:p>
          <w:p w14:paraId="78AD212A" w14:textId="77777777" w:rsidR="00B342AE" w:rsidRDefault="00B342AE" w:rsidP="00BD6B74">
            <w:pPr>
              <w:pStyle w:val="Default"/>
              <w:jc w:val="both"/>
              <w:rPr>
                <w:rFonts w:asciiTheme="majorHAnsi" w:eastAsia="Times New Roman" w:hAnsiTheme="majorHAnsi"/>
                <w:bCs/>
                <w:color w:val="auto"/>
                <w:sz w:val="20"/>
                <w:szCs w:val="20"/>
              </w:rPr>
            </w:pPr>
          </w:p>
          <w:p w14:paraId="24DE48D6" w14:textId="7E9D07E4" w:rsidR="00B342AE" w:rsidRDefault="00B342AE" w:rsidP="00BD6B74">
            <w:pPr>
              <w:pStyle w:val="Default"/>
              <w:jc w:val="both"/>
              <w:rPr>
                <w:rFonts w:asciiTheme="majorHAnsi" w:eastAsia="Times New Roman" w:hAnsiTheme="majorHAnsi"/>
                <w:bCs/>
                <w:color w:val="auto"/>
                <w:sz w:val="20"/>
                <w:szCs w:val="20"/>
              </w:rPr>
            </w:pPr>
            <w:r>
              <w:rPr>
                <w:rFonts w:asciiTheme="majorHAnsi" w:eastAsia="Times New Roman" w:hAnsiTheme="majorHAnsi"/>
                <w:bCs/>
                <w:color w:val="auto"/>
                <w:sz w:val="20"/>
                <w:szCs w:val="20"/>
              </w:rPr>
              <w:t>The processing operation concerned by this notification gives practical implementation to the above recommendation.</w:t>
            </w:r>
          </w:p>
          <w:p w14:paraId="26F0623F" w14:textId="77777777" w:rsidR="002A77AC" w:rsidRPr="00991A6C" w:rsidRDefault="002A77AC" w:rsidP="00B9628E">
            <w:pPr>
              <w:pStyle w:val="Default"/>
              <w:jc w:val="both"/>
              <w:rPr>
                <w:rFonts w:asciiTheme="majorHAnsi" w:eastAsia="Times New Roman" w:hAnsiTheme="majorHAnsi"/>
                <w:bCs/>
                <w:i/>
                <w:sz w:val="20"/>
                <w:szCs w:val="20"/>
              </w:rPr>
            </w:pPr>
          </w:p>
        </w:tc>
      </w:tr>
      <w:tr w:rsidR="00B75A0F" w:rsidRPr="00991A6C" w14:paraId="0556AF60" w14:textId="77777777" w:rsidTr="0056317A">
        <w:tc>
          <w:tcPr>
            <w:tcW w:w="9498" w:type="dxa"/>
          </w:tcPr>
          <w:p w14:paraId="661E95BD" w14:textId="780F1FFC" w:rsidR="002A77AC" w:rsidRPr="00991A6C" w:rsidRDefault="00B75A0F">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5/ Description of the category or categories of data subjects</w:t>
            </w:r>
            <w:r w:rsidR="006E0788" w:rsidRPr="00991A6C">
              <w:rPr>
                <w:rFonts w:asciiTheme="majorHAnsi" w:eastAsia="Times New Roman" w:hAnsiTheme="majorHAnsi" w:cs="Times New Roman"/>
                <w:b/>
                <w:bCs/>
                <w:sz w:val="20"/>
                <w:szCs w:val="20"/>
              </w:rPr>
              <w:t xml:space="preserve"> </w:t>
            </w:r>
          </w:p>
          <w:p w14:paraId="3E6357FD" w14:textId="77777777" w:rsidR="00C22EC0" w:rsidRPr="00991A6C" w:rsidRDefault="00C22EC0">
            <w:pPr>
              <w:rPr>
                <w:rFonts w:asciiTheme="majorHAnsi" w:eastAsia="Times New Roman" w:hAnsiTheme="majorHAnsi" w:cs="Times New Roman"/>
                <w:bCs/>
                <w:sz w:val="20"/>
                <w:szCs w:val="20"/>
              </w:rPr>
            </w:pPr>
          </w:p>
          <w:p w14:paraId="138ADBDC" w14:textId="4C4DBE2F" w:rsidR="00161548" w:rsidRDefault="006E6315" w:rsidP="00991A6C">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The data subjects shall be the following:</w:t>
            </w:r>
          </w:p>
          <w:p w14:paraId="5D85E5AB" w14:textId="77777777" w:rsidR="006E6315" w:rsidRDefault="006E6315" w:rsidP="00991A6C">
            <w:pPr>
              <w:rPr>
                <w:rFonts w:asciiTheme="majorHAnsi" w:eastAsia="Times New Roman" w:hAnsiTheme="majorHAnsi" w:cs="Times New Roman"/>
                <w:bCs/>
                <w:sz w:val="20"/>
                <w:szCs w:val="20"/>
              </w:rPr>
            </w:pPr>
          </w:p>
          <w:p w14:paraId="74C8ADBB" w14:textId="6944A0F9" w:rsidR="006E6315" w:rsidRPr="00991A6C" w:rsidRDefault="001A4C9D" w:rsidP="00991A6C">
            <w:pPr>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Staff members (temporary and contract agents) who participate in selection procedure</w:t>
            </w:r>
            <w:r w:rsidR="00B342AE">
              <w:rPr>
                <w:rFonts w:asciiTheme="majorHAnsi" w:eastAsia="Times New Roman" w:hAnsiTheme="majorHAnsi" w:cs="Times New Roman"/>
                <w:bCs/>
                <w:sz w:val="20"/>
                <w:szCs w:val="20"/>
              </w:rPr>
              <w:t>s</w:t>
            </w:r>
            <w:r>
              <w:rPr>
                <w:rFonts w:asciiTheme="majorHAnsi" w:eastAsia="Times New Roman" w:hAnsiTheme="majorHAnsi" w:cs="Times New Roman"/>
                <w:bCs/>
                <w:sz w:val="20"/>
                <w:szCs w:val="20"/>
              </w:rPr>
              <w:t xml:space="preserve"> as Selection Committee members.</w:t>
            </w:r>
          </w:p>
          <w:p w14:paraId="51214B68" w14:textId="77777777" w:rsidR="002A77AC" w:rsidRPr="00991A6C" w:rsidRDefault="002A77AC" w:rsidP="00161548">
            <w:pPr>
              <w:rPr>
                <w:rFonts w:asciiTheme="majorHAnsi" w:hAnsiTheme="majorHAnsi" w:cs="Times New Roman"/>
              </w:rPr>
            </w:pPr>
          </w:p>
        </w:tc>
      </w:tr>
      <w:tr w:rsidR="00B75A0F" w:rsidRPr="00991A6C" w14:paraId="5E55AC5B" w14:textId="77777777" w:rsidTr="0056317A">
        <w:tc>
          <w:tcPr>
            <w:tcW w:w="9498" w:type="dxa"/>
          </w:tcPr>
          <w:p w14:paraId="69929A23" w14:textId="2F3403E8" w:rsidR="002A77AC" w:rsidRPr="00991A6C" w:rsidRDefault="00B75A0F" w:rsidP="00566C6E">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6/ Description of the data or categories of data</w:t>
            </w:r>
          </w:p>
          <w:p w14:paraId="38302D9F" w14:textId="77777777" w:rsidR="00C22EC0" w:rsidRPr="00991A6C" w:rsidRDefault="00C22EC0" w:rsidP="00566C6E">
            <w:pPr>
              <w:rPr>
                <w:rFonts w:asciiTheme="majorHAnsi" w:eastAsia="Times New Roman" w:hAnsiTheme="majorHAnsi" w:cs="Times New Roman"/>
                <w:bCs/>
                <w:iCs/>
                <w:sz w:val="20"/>
                <w:szCs w:val="20"/>
              </w:rPr>
            </w:pPr>
          </w:p>
          <w:p w14:paraId="509D1B19" w14:textId="50E0C305" w:rsidR="006E6315" w:rsidRDefault="001A4C9D" w:rsidP="006E6315">
            <w:pPr>
              <w:pStyle w:val="ListParagraph"/>
              <w:numPr>
                <w:ilvl w:val="0"/>
                <w:numId w:val="11"/>
              </w:num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Name and Surname of the staff member;</w:t>
            </w:r>
          </w:p>
          <w:p w14:paraId="0B9FBD46" w14:textId="1641632D" w:rsidR="006E6315" w:rsidRPr="001A4C9D" w:rsidRDefault="001A4C9D" w:rsidP="006E6315">
            <w:pPr>
              <w:pStyle w:val="ListParagraph"/>
              <w:numPr>
                <w:ilvl w:val="0"/>
                <w:numId w:val="11"/>
              </w:num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Staff member’s role in the </w:t>
            </w:r>
            <w:r w:rsidR="00ED5894">
              <w:rPr>
                <w:rFonts w:asciiTheme="majorHAnsi" w:eastAsia="Times New Roman" w:hAnsiTheme="majorHAnsi"/>
                <w:bCs/>
                <w:sz w:val="20"/>
                <w:szCs w:val="20"/>
              </w:rPr>
              <w:t>Selection Committee</w:t>
            </w:r>
            <w:r>
              <w:rPr>
                <w:rFonts w:asciiTheme="majorHAnsi" w:eastAsia="Times New Roman" w:hAnsiTheme="majorHAnsi" w:cs="Times New Roman"/>
                <w:bCs/>
                <w:iCs/>
                <w:sz w:val="20"/>
                <w:szCs w:val="20"/>
              </w:rPr>
              <w:t xml:space="preserve"> (i.e. Chairperson, Staff Committee representative, member, secretariat). </w:t>
            </w:r>
          </w:p>
          <w:p w14:paraId="728B1FF3" w14:textId="77777777" w:rsidR="002A77AC" w:rsidRPr="00991A6C" w:rsidRDefault="002A77AC" w:rsidP="00D83B33">
            <w:pPr>
              <w:jc w:val="both"/>
              <w:rPr>
                <w:rFonts w:asciiTheme="majorHAnsi" w:hAnsiTheme="majorHAnsi" w:cs="Times New Roman"/>
              </w:rPr>
            </w:pPr>
          </w:p>
        </w:tc>
      </w:tr>
      <w:tr w:rsidR="00B75A0F" w:rsidRPr="00991A6C" w14:paraId="5062D191" w14:textId="77777777" w:rsidTr="0056317A">
        <w:tc>
          <w:tcPr>
            <w:tcW w:w="9498" w:type="dxa"/>
          </w:tcPr>
          <w:p w14:paraId="17C1FB4C" w14:textId="77B727D2" w:rsidR="002A77AC" w:rsidRPr="00991A6C" w:rsidRDefault="00F86BEF" w:rsidP="00B22689">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7/ Information to be given to data subjects</w:t>
            </w:r>
            <w:r w:rsidR="00B22689" w:rsidRPr="00991A6C">
              <w:rPr>
                <w:rFonts w:asciiTheme="majorHAnsi" w:eastAsia="Times New Roman" w:hAnsiTheme="majorHAnsi" w:cs="Times New Roman"/>
                <w:b/>
                <w:bCs/>
                <w:sz w:val="20"/>
                <w:szCs w:val="20"/>
              </w:rPr>
              <w:t xml:space="preserve"> </w:t>
            </w:r>
          </w:p>
          <w:p w14:paraId="07D25D18" w14:textId="77777777" w:rsidR="00AF0B8B" w:rsidRPr="00991A6C" w:rsidRDefault="00AF0B8B" w:rsidP="00B22689">
            <w:pPr>
              <w:rPr>
                <w:rFonts w:asciiTheme="majorHAnsi" w:eastAsia="Times New Roman" w:hAnsiTheme="majorHAnsi" w:cs="Times New Roman"/>
                <w:bCs/>
                <w:sz w:val="20"/>
                <w:szCs w:val="20"/>
              </w:rPr>
            </w:pPr>
          </w:p>
          <w:p w14:paraId="3A0ACF85" w14:textId="2D4FEF11" w:rsidR="00BD6B74" w:rsidRDefault="003F1426" w:rsidP="006E6315">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The Agency will provide data subjects with information on</w:t>
            </w:r>
            <w:r w:rsidR="006E6315">
              <w:rPr>
                <w:rFonts w:asciiTheme="majorHAnsi" w:eastAsia="Times New Roman" w:hAnsiTheme="majorHAnsi" w:cs="Times New Roman"/>
                <w:bCs/>
                <w:iCs/>
                <w:sz w:val="20"/>
                <w:szCs w:val="20"/>
              </w:rPr>
              <w:t>:</w:t>
            </w:r>
          </w:p>
          <w:p w14:paraId="194C2044" w14:textId="77777777" w:rsidR="006E6315" w:rsidRDefault="006E6315" w:rsidP="006E6315">
            <w:pPr>
              <w:rPr>
                <w:rFonts w:asciiTheme="majorHAnsi" w:eastAsia="Times New Roman" w:hAnsiTheme="majorHAnsi" w:cs="Times New Roman"/>
                <w:bCs/>
                <w:iCs/>
                <w:sz w:val="20"/>
                <w:szCs w:val="20"/>
              </w:rPr>
            </w:pPr>
          </w:p>
          <w:p w14:paraId="6B2B6938" w14:textId="3F2E1AFF" w:rsidR="006E6315" w:rsidRPr="006E6315" w:rsidRDefault="006E6315" w:rsidP="006E6315">
            <w:pPr>
              <w:pStyle w:val="ListParagraph"/>
              <w:numPr>
                <w:ilvl w:val="0"/>
                <w:numId w:val="13"/>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identity of the controller;</w:t>
            </w:r>
          </w:p>
          <w:p w14:paraId="7B70692C" w14:textId="7D19B8C9" w:rsidR="006E6315" w:rsidRPr="006E6315" w:rsidRDefault="006E6315" w:rsidP="006E6315">
            <w:pPr>
              <w:pStyle w:val="ListParagraph"/>
              <w:numPr>
                <w:ilvl w:val="0"/>
                <w:numId w:val="13"/>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purposes of the processing operation for which the data are intended;</w:t>
            </w:r>
          </w:p>
          <w:p w14:paraId="227FC97A" w14:textId="1AF36509" w:rsidR="006E6315" w:rsidRPr="006E6315" w:rsidRDefault="006E6315" w:rsidP="006E6315">
            <w:pPr>
              <w:pStyle w:val="ListParagraph"/>
              <w:numPr>
                <w:ilvl w:val="0"/>
                <w:numId w:val="13"/>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recipients or categories of recipients of the data;</w:t>
            </w:r>
          </w:p>
          <w:p w14:paraId="76BB3D7F" w14:textId="0FD4768D" w:rsidR="006E6315" w:rsidRPr="000174D3" w:rsidRDefault="006E6315" w:rsidP="000174D3">
            <w:pPr>
              <w:pStyle w:val="ListParagraph"/>
              <w:numPr>
                <w:ilvl w:val="0"/>
                <w:numId w:val="13"/>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 xml:space="preserve">whether </w:t>
            </w:r>
            <w:r w:rsidR="000174D3">
              <w:rPr>
                <w:rFonts w:asciiTheme="majorHAnsi" w:eastAsia="Times New Roman" w:hAnsiTheme="majorHAnsi" w:cs="Times New Roman"/>
                <w:bCs/>
                <w:iCs/>
                <w:sz w:val="20"/>
                <w:szCs w:val="20"/>
              </w:rPr>
              <w:t>the disclosure of the data is</w:t>
            </w:r>
            <w:r w:rsidRPr="006E6315">
              <w:rPr>
                <w:rFonts w:asciiTheme="majorHAnsi" w:eastAsia="Times New Roman" w:hAnsiTheme="majorHAnsi" w:cs="Times New Roman"/>
                <w:bCs/>
                <w:iCs/>
                <w:sz w:val="20"/>
                <w:szCs w:val="20"/>
              </w:rPr>
              <w:t xml:space="preserve"> obligatory or voluntary, as well as the possible consequences </w:t>
            </w:r>
            <w:r w:rsidR="000174D3">
              <w:rPr>
                <w:rFonts w:asciiTheme="majorHAnsi" w:eastAsia="Times New Roman" w:hAnsiTheme="majorHAnsi" w:cs="Times New Roman"/>
                <w:bCs/>
                <w:iCs/>
                <w:sz w:val="20"/>
                <w:szCs w:val="20"/>
              </w:rPr>
              <w:t xml:space="preserve">in case of </w:t>
            </w:r>
            <w:r w:rsidR="000174D3" w:rsidRPr="000174D3">
              <w:rPr>
                <w:rFonts w:asciiTheme="majorHAnsi" w:eastAsia="Times New Roman" w:hAnsiTheme="majorHAnsi" w:cs="Times New Roman"/>
                <w:bCs/>
                <w:iCs/>
                <w:sz w:val="20"/>
                <w:szCs w:val="20"/>
              </w:rPr>
              <w:t>disagreement of disclosure</w:t>
            </w:r>
            <w:r w:rsidRPr="000174D3">
              <w:rPr>
                <w:rFonts w:asciiTheme="majorHAnsi" w:eastAsia="Times New Roman" w:hAnsiTheme="majorHAnsi" w:cs="Times New Roman"/>
                <w:bCs/>
                <w:iCs/>
                <w:sz w:val="20"/>
                <w:szCs w:val="20"/>
              </w:rPr>
              <w:t>;</w:t>
            </w:r>
          </w:p>
          <w:p w14:paraId="30125BAE" w14:textId="423C77BB" w:rsidR="006E6315" w:rsidRPr="006E6315" w:rsidRDefault="006E6315" w:rsidP="006E6315">
            <w:pPr>
              <w:pStyle w:val="ListParagraph"/>
              <w:numPr>
                <w:ilvl w:val="0"/>
                <w:numId w:val="13"/>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any further information such as:</w:t>
            </w:r>
          </w:p>
          <w:p w14:paraId="4B53EE56" w14:textId="4D241DC4" w:rsidR="006E6315" w:rsidRPr="006E6315" w:rsidRDefault="006E6315" w:rsidP="006E6315">
            <w:pPr>
              <w:pStyle w:val="ListParagraph"/>
              <w:numPr>
                <w:ilvl w:val="1"/>
                <w:numId w:val="12"/>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legal basis of the processing operation for which the data are intended,</w:t>
            </w:r>
          </w:p>
          <w:p w14:paraId="6DEB480F" w14:textId="0E881875" w:rsidR="006E6315" w:rsidRPr="006E6315" w:rsidRDefault="006E6315" w:rsidP="006E6315">
            <w:pPr>
              <w:pStyle w:val="ListParagraph"/>
              <w:numPr>
                <w:ilvl w:val="1"/>
                <w:numId w:val="12"/>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time-limits for storing the data</w:t>
            </w:r>
            <w:r w:rsidR="000174D3">
              <w:rPr>
                <w:rFonts w:asciiTheme="majorHAnsi" w:eastAsia="Times New Roman" w:hAnsiTheme="majorHAnsi" w:cs="Times New Roman"/>
                <w:bCs/>
                <w:iCs/>
                <w:sz w:val="20"/>
                <w:szCs w:val="20"/>
              </w:rPr>
              <w:t xml:space="preserve"> (i.e. if the information is published on the web page with the Vacancy Notice, when and for how long it is published)</w:t>
            </w:r>
            <w:r w:rsidRPr="006E6315">
              <w:rPr>
                <w:rFonts w:asciiTheme="majorHAnsi" w:eastAsia="Times New Roman" w:hAnsiTheme="majorHAnsi" w:cs="Times New Roman"/>
                <w:bCs/>
                <w:iCs/>
                <w:sz w:val="20"/>
                <w:szCs w:val="20"/>
              </w:rPr>
              <w:t>,</w:t>
            </w:r>
          </w:p>
          <w:p w14:paraId="76385A16" w14:textId="1AF50ED6" w:rsidR="006E6315" w:rsidRPr="006E6315" w:rsidRDefault="006E6315" w:rsidP="006E6315">
            <w:pPr>
              <w:pStyle w:val="ListParagraph"/>
              <w:numPr>
                <w:ilvl w:val="1"/>
                <w:numId w:val="12"/>
              </w:numPr>
              <w:rPr>
                <w:rFonts w:asciiTheme="majorHAnsi" w:eastAsia="Times New Roman" w:hAnsiTheme="majorHAnsi" w:cs="Times New Roman"/>
                <w:bCs/>
                <w:iCs/>
                <w:sz w:val="20"/>
                <w:szCs w:val="20"/>
              </w:rPr>
            </w:pPr>
            <w:r w:rsidRPr="006E6315">
              <w:rPr>
                <w:rFonts w:asciiTheme="majorHAnsi" w:eastAsia="Times New Roman" w:hAnsiTheme="majorHAnsi" w:cs="Times New Roman"/>
                <w:bCs/>
                <w:iCs/>
                <w:sz w:val="20"/>
                <w:szCs w:val="20"/>
              </w:rPr>
              <w:t>the right to have recourse at any time to the European Data Protection Supervisor,</w:t>
            </w:r>
          </w:p>
          <w:p w14:paraId="4A2B78AA" w14:textId="65866154" w:rsidR="006E6315" w:rsidRDefault="006E6315" w:rsidP="006E6315">
            <w:pPr>
              <w:pStyle w:val="ListParagraph"/>
              <w:rPr>
                <w:rFonts w:asciiTheme="majorHAnsi" w:eastAsia="Times New Roman" w:hAnsiTheme="majorHAnsi" w:cs="Times New Roman"/>
                <w:bCs/>
                <w:iCs/>
                <w:sz w:val="20"/>
                <w:szCs w:val="20"/>
              </w:rPr>
            </w:pPr>
            <w:proofErr w:type="gramStart"/>
            <w:r w:rsidRPr="006E6315">
              <w:rPr>
                <w:rFonts w:asciiTheme="majorHAnsi" w:eastAsia="Times New Roman" w:hAnsiTheme="majorHAnsi" w:cs="Times New Roman"/>
                <w:bCs/>
                <w:iCs/>
                <w:sz w:val="20"/>
                <w:szCs w:val="20"/>
              </w:rPr>
              <w:t>insofar</w:t>
            </w:r>
            <w:proofErr w:type="gramEnd"/>
            <w:r w:rsidRPr="006E6315">
              <w:rPr>
                <w:rFonts w:asciiTheme="majorHAnsi" w:eastAsia="Times New Roman" w:hAnsiTheme="majorHAnsi" w:cs="Times New Roman"/>
                <w:bCs/>
                <w:iCs/>
                <w:sz w:val="20"/>
                <w:szCs w:val="20"/>
              </w:rPr>
              <w:t xml:space="preserve"> as such further information is necessary, having regard to the specific circumstances in which the</w:t>
            </w:r>
            <w:r>
              <w:rPr>
                <w:rFonts w:asciiTheme="majorHAnsi" w:eastAsia="Times New Roman" w:hAnsiTheme="majorHAnsi" w:cs="Times New Roman"/>
                <w:bCs/>
                <w:iCs/>
                <w:sz w:val="20"/>
                <w:szCs w:val="20"/>
              </w:rPr>
              <w:t xml:space="preserve"> </w:t>
            </w:r>
            <w:r w:rsidRPr="006E6315">
              <w:rPr>
                <w:rFonts w:asciiTheme="majorHAnsi" w:eastAsia="Times New Roman" w:hAnsiTheme="majorHAnsi" w:cs="Times New Roman"/>
                <w:bCs/>
                <w:iCs/>
                <w:sz w:val="20"/>
                <w:szCs w:val="20"/>
              </w:rPr>
              <w:t>data are collected, to guarantee fair processing in respect of the data subject</w:t>
            </w:r>
            <w:r>
              <w:rPr>
                <w:rFonts w:asciiTheme="majorHAnsi" w:eastAsia="Times New Roman" w:hAnsiTheme="majorHAnsi" w:cs="Times New Roman"/>
                <w:bCs/>
                <w:iCs/>
                <w:sz w:val="20"/>
                <w:szCs w:val="20"/>
              </w:rPr>
              <w:t>.</w:t>
            </w:r>
          </w:p>
          <w:p w14:paraId="1F68295E" w14:textId="77777777" w:rsidR="006E6315" w:rsidRDefault="006E6315" w:rsidP="006E6315">
            <w:pPr>
              <w:pStyle w:val="ListParagraph"/>
              <w:rPr>
                <w:rFonts w:asciiTheme="majorHAnsi" w:eastAsia="Times New Roman" w:hAnsiTheme="majorHAnsi" w:cs="Times New Roman"/>
                <w:bCs/>
                <w:iCs/>
                <w:sz w:val="20"/>
                <w:szCs w:val="20"/>
              </w:rPr>
            </w:pPr>
          </w:p>
          <w:p w14:paraId="7BB65CF2" w14:textId="4D1F468D" w:rsidR="00B342AE" w:rsidRDefault="00482575" w:rsidP="00A65F7F">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lastRenderedPageBreak/>
              <w:t xml:space="preserve">Data subjects are provided with a Privacy Statement (Annex I) which makes reference to the data subject’s rights as defined by Regulation (EC) No 45/2001. </w:t>
            </w:r>
            <w:r w:rsidR="00B342AE">
              <w:rPr>
                <w:rFonts w:asciiTheme="majorHAnsi" w:eastAsia="Times New Roman" w:hAnsiTheme="majorHAnsi" w:cs="Times New Roman"/>
                <w:bCs/>
                <w:iCs/>
                <w:sz w:val="20"/>
                <w:szCs w:val="20"/>
              </w:rPr>
              <w:t>This is given to data subjects at the time of signing a Declaration of Selection Committee members (draft in Annex II). In this declaration, data subjects give their unambiguous prior consent to this processing operation.</w:t>
            </w:r>
          </w:p>
          <w:p w14:paraId="4BC7F084" w14:textId="11512EC7" w:rsidR="002A77AC" w:rsidRPr="00991A6C" w:rsidRDefault="002A77AC" w:rsidP="00A65F7F">
            <w:pPr>
              <w:rPr>
                <w:rFonts w:asciiTheme="majorHAnsi" w:hAnsiTheme="majorHAnsi" w:cs="Times New Roman"/>
              </w:rPr>
            </w:pPr>
          </w:p>
        </w:tc>
      </w:tr>
      <w:tr w:rsidR="00B75A0F" w:rsidRPr="00991A6C" w14:paraId="73CB1528" w14:textId="77777777" w:rsidTr="0056317A">
        <w:tc>
          <w:tcPr>
            <w:tcW w:w="9498" w:type="dxa"/>
          </w:tcPr>
          <w:p w14:paraId="7A0E8ACD" w14:textId="10833F12" w:rsidR="002A77AC" w:rsidRPr="00991A6C" w:rsidRDefault="00F86BEF">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lastRenderedPageBreak/>
              <w:t> 8/ Procedures to grant rights of data subjects</w:t>
            </w:r>
            <w:r w:rsidR="00B22689" w:rsidRPr="00991A6C">
              <w:rPr>
                <w:rFonts w:asciiTheme="majorHAnsi" w:eastAsia="Times New Roman" w:hAnsiTheme="majorHAnsi" w:cs="Times New Roman"/>
                <w:b/>
                <w:bCs/>
                <w:sz w:val="20"/>
                <w:szCs w:val="20"/>
              </w:rPr>
              <w:t xml:space="preserve"> </w:t>
            </w:r>
          </w:p>
          <w:p w14:paraId="1AEFE697" w14:textId="77777777" w:rsidR="00C22EC0" w:rsidRDefault="00C22EC0" w:rsidP="00C22EC0">
            <w:pPr>
              <w:rPr>
                <w:rFonts w:asciiTheme="majorHAnsi" w:eastAsia="Times New Roman" w:hAnsiTheme="majorHAnsi" w:cs="Times New Roman"/>
                <w:bCs/>
                <w:iCs/>
                <w:sz w:val="20"/>
                <w:szCs w:val="20"/>
              </w:rPr>
            </w:pPr>
          </w:p>
          <w:p w14:paraId="53869912" w14:textId="727C383F" w:rsidR="00D32BD4" w:rsidRDefault="00D32BD4" w:rsidP="00C22EC0">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Data subjects are provided with a Privacy Statement (Annex I) </w:t>
            </w:r>
            <w:r w:rsidR="00E66CA8">
              <w:rPr>
                <w:rFonts w:asciiTheme="majorHAnsi" w:eastAsia="Times New Roman" w:hAnsiTheme="majorHAnsi" w:cs="Times New Roman"/>
                <w:bCs/>
                <w:iCs/>
                <w:sz w:val="20"/>
                <w:szCs w:val="20"/>
              </w:rPr>
              <w:t xml:space="preserve">at the time of signing a </w:t>
            </w:r>
            <w:r>
              <w:rPr>
                <w:rFonts w:asciiTheme="majorHAnsi" w:eastAsia="Times New Roman" w:hAnsiTheme="majorHAnsi" w:cs="Times New Roman"/>
                <w:bCs/>
                <w:iCs/>
                <w:sz w:val="20"/>
                <w:szCs w:val="20"/>
              </w:rPr>
              <w:t>Declaration of Selection Committee members (</w:t>
            </w:r>
            <w:r w:rsidR="00E66CA8">
              <w:rPr>
                <w:rFonts w:asciiTheme="majorHAnsi" w:eastAsia="Times New Roman" w:hAnsiTheme="majorHAnsi" w:cs="Times New Roman"/>
                <w:bCs/>
                <w:iCs/>
                <w:sz w:val="20"/>
                <w:szCs w:val="20"/>
              </w:rPr>
              <w:t xml:space="preserve">draft in </w:t>
            </w:r>
            <w:r>
              <w:rPr>
                <w:rFonts w:asciiTheme="majorHAnsi" w:eastAsia="Times New Roman" w:hAnsiTheme="majorHAnsi" w:cs="Times New Roman"/>
                <w:bCs/>
                <w:iCs/>
                <w:sz w:val="20"/>
                <w:szCs w:val="20"/>
              </w:rPr>
              <w:t>Annex II).</w:t>
            </w:r>
          </w:p>
          <w:p w14:paraId="6F1F8391" w14:textId="77777777" w:rsidR="005367C3" w:rsidRDefault="005367C3" w:rsidP="00C22EC0">
            <w:pPr>
              <w:rPr>
                <w:rFonts w:asciiTheme="majorHAnsi" w:eastAsia="Times New Roman" w:hAnsiTheme="majorHAnsi" w:cs="Times New Roman"/>
                <w:bCs/>
                <w:iCs/>
                <w:sz w:val="20"/>
                <w:szCs w:val="20"/>
              </w:rPr>
            </w:pPr>
          </w:p>
          <w:p w14:paraId="500FB2CE" w14:textId="5F5F0E37" w:rsidR="003E05D9" w:rsidRDefault="00E66CA8" w:rsidP="003E05D9">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The </w:t>
            </w:r>
            <w:r w:rsidR="00D32BD4">
              <w:rPr>
                <w:rFonts w:asciiTheme="majorHAnsi" w:eastAsia="Times New Roman" w:hAnsiTheme="majorHAnsi" w:cs="Times New Roman"/>
                <w:bCs/>
                <w:iCs/>
                <w:sz w:val="20"/>
                <w:szCs w:val="20"/>
              </w:rPr>
              <w:t>Privacy Statement outlines the data subject’s rights as defined by Regulation (EC) No 45/2001 and recalls data subject that they can exercise them contacting either (</w:t>
            </w:r>
            <w:proofErr w:type="spellStart"/>
            <w:r w:rsidR="00D32BD4">
              <w:rPr>
                <w:rFonts w:asciiTheme="majorHAnsi" w:eastAsia="Times New Roman" w:hAnsiTheme="majorHAnsi" w:cs="Times New Roman"/>
                <w:bCs/>
                <w:iCs/>
                <w:sz w:val="20"/>
                <w:szCs w:val="20"/>
              </w:rPr>
              <w:t>i</w:t>
            </w:r>
            <w:proofErr w:type="spellEnd"/>
            <w:r w:rsidR="00D32BD4">
              <w:rPr>
                <w:rFonts w:asciiTheme="majorHAnsi" w:eastAsia="Times New Roman" w:hAnsiTheme="majorHAnsi" w:cs="Times New Roman"/>
                <w:bCs/>
                <w:iCs/>
                <w:sz w:val="20"/>
                <w:szCs w:val="20"/>
              </w:rPr>
              <w:t>) the Agency’s controller; (ii) the Agency’s data protection officer; or (iii) the European Data Protection Supervisor, using the details provided therein.</w:t>
            </w:r>
          </w:p>
          <w:p w14:paraId="3712A429" w14:textId="77777777" w:rsidR="003E05D9" w:rsidRDefault="003E05D9" w:rsidP="003E05D9">
            <w:pPr>
              <w:rPr>
                <w:rFonts w:asciiTheme="majorHAnsi" w:eastAsia="Times New Roman" w:hAnsiTheme="majorHAnsi" w:cs="Times New Roman"/>
                <w:bCs/>
                <w:iCs/>
                <w:sz w:val="20"/>
                <w:szCs w:val="20"/>
              </w:rPr>
            </w:pPr>
          </w:p>
          <w:p w14:paraId="0CFE3D53" w14:textId="1DAC3D15" w:rsidR="00D32BD4" w:rsidRDefault="00E66CA8" w:rsidP="003E05D9">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In the D</w:t>
            </w:r>
            <w:r w:rsidR="00D32BD4">
              <w:rPr>
                <w:rFonts w:asciiTheme="majorHAnsi" w:eastAsia="Times New Roman" w:hAnsiTheme="majorHAnsi" w:cs="Times New Roman"/>
                <w:bCs/>
                <w:iCs/>
                <w:sz w:val="20"/>
                <w:szCs w:val="20"/>
              </w:rPr>
              <w:t>eclaration of Selection Committee members</w:t>
            </w:r>
            <w:r>
              <w:rPr>
                <w:rFonts w:asciiTheme="majorHAnsi" w:eastAsia="Times New Roman" w:hAnsiTheme="majorHAnsi" w:cs="Times New Roman"/>
                <w:bCs/>
                <w:iCs/>
                <w:sz w:val="20"/>
                <w:szCs w:val="20"/>
              </w:rPr>
              <w:t xml:space="preserve">, </w:t>
            </w:r>
            <w:r w:rsidR="00D32BD4">
              <w:rPr>
                <w:rFonts w:asciiTheme="majorHAnsi" w:eastAsia="Times New Roman" w:hAnsiTheme="majorHAnsi" w:cs="Times New Roman"/>
                <w:bCs/>
                <w:iCs/>
                <w:sz w:val="20"/>
                <w:szCs w:val="20"/>
              </w:rPr>
              <w:t>data subject</w:t>
            </w:r>
            <w:r>
              <w:rPr>
                <w:rFonts w:asciiTheme="majorHAnsi" w:eastAsia="Times New Roman" w:hAnsiTheme="majorHAnsi" w:cs="Times New Roman"/>
                <w:bCs/>
                <w:iCs/>
                <w:sz w:val="20"/>
                <w:szCs w:val="20"/>
              </w:rPr>
              <w:t>s</w:t>
            </w:r>
            <w:r w:rsidR="00D32BD4">
              <w:rPr>
                <w:rFonts w:asciiTheme="majorHAnsi" w:eastAsia="Times New Roman" w:hAnsiTheme="majorHAnsi" w:cs="Times New Roman"/>
                <w:bCs/>
                <w:iCs/>
                <w:sz w:val="20"/>
                <w:szCs w:val="20"/>
              </w:rPr>
              <w:t xml:space="preserve"> </w:t>
            </w:r>
            <w:r>
              <w:rPr>
                <w:rFonts w:asciiTheme="majorHAnsi" w:eastAsia="Times New Roman" w:hAnsiTheme="majorHAnsi" w:cs="Times New Roman"/>
                <w:bCs/>
                <w:iCs/>
                <w:sz w:val="20"/>
                <w:szCs w:val="20"/>
              </w:rPr>
              <w:t>give their unambiguous prior consent to this processing operation.</w:t>
            </w:r>
          </w:p>
          <w:p w14:paraId="64964467" w14:textId="77777777" w:rsidR="00B4164D" w:rsidRPr="00B45752" w:rsidRDefault="00B4164D" w:rsidP="00B45752">
            <w:pPr>
              <w:jc w:val="both"/>
              <w:rPr>
                <w:rFonts w:asciiTheme="majorHAnsi" w:hAnsiTheme="majorHAnsi" w:cs="Times New Roman"/>
                <w:lang w:val="en-GB"/>
              </w:rPr>
            </w:pPr>
            <w:r w:rsidRPr="00991A6C">
              <w:rPr>
                <w:rFonts w:asciiTheme="majorHAnsi" w:hAnsiTheme="majorHAnsi" w:cs="Times New Roman"/>
                <w:lang w:val="en-GB"/>
              </w:rPr>
              <w:t xml:space="preserve"> </w:t>
            </w:r>
          </w:p>
        </w:tc>
      </w:tr>
      <w:tr w:rsidR="00B75A0F" w:rsidRPr="00991A6C" w14:paraId="448306A1" w14:textId="77777777" w:rsidTr="0056317A">
        <w:tc>
          <w:tcPr>
            <w:tcW w:w="9498" w:type="dxa"/>
          </w:tcPr>
          <w:p w14:paraId="50F79565" w14:textId="77777777" w:rsidR="00B75A0F" w:rsidRPr="00991A6C" w:rsidRDefault="00F86BEF">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9/ Automated / Manual processing operation</w:t>
            </w:r>
            <w:r w:rsidR="003061B7" w:rsidRPr="00991A6C">
              <w:rPr>
                <w:rFonts w:asciiTheme="majorHAnsi" w:eastAsia="Times New Roman" w:hAnsiTheme="majorHAnsi" w:cs="Times New Roman"/>
                <w:b/>
                <w:bCs/>
                <w:sz w:val="20"/>
                <w:szCs w:val="20"/>
              </w:rPr>
              <w:t xml:space="preserve"> </w:t>
            </w:r>
          </w:p>
          <w:p w14:paraId="452B12E4" w14:textId="77777777" w:rsidR="002A77AC" w:rsidRPr="00991A6C" w:rsidRDefault="002A77AC">
            <w:pPr>
              <w:rPr>
                <w:rFonts w:asciiTheme="majorHAnsi" w:hAnsiTheme="majorHAnsi" w:cs="Times New Roman"/>
              </w:rPr>
            </w:pPr>
          </w:p>
          <w:p w14:paraId="016086C9" w14:textId="73AFFDFB" w:rsidR="005367C3" w:rsidRDefault="00E66CA8" w:rsidP="00D87A5A">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The processing is manual: the data concerned by this processing operation will be sent via email to candidates.</w:t>
            </w:r>
          </w:p>
          <w:p w14:paraId="43B9A886" w14:textId="77777777" w:rsidR="00BD6B74" w:rsidRPr="00991A6C" w:rsidRDefault="00BD6B74" w:rsidP="005367C3">
            <w:pPr>
              <w:jc w:val="both"/>
              <w:rPr>
                <w:rFonts w:asciiTheme="majorHAnsi" w:hAnsiTheme="majorHAnsi" w:cs="Times New Roman"/>
              </w:rPr>
            </w:pPr>
          </w:p>
        </w:tc>
      </w:tr>
      <w:tr w:rsidR="00B75A0F" w:rsidRPr="00991A6C" w14:paraId="1FCF8E4B" w14:textId="77777777" w:rsidTr="0056317A">
        <w:tc>
          <w:tcPr>
            <w:tcW w:w="9498" w:type="dxa"/>
          </w:tcPr>
          <w:p w14:paraId="71A2392F" w14:textId="77777777" w:rsidR="00B75A0F" w:rsidRPr="00991A6C" w:rsidRDefault="00F86BEF">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10/ Storage media of data</w:t>
            </w:r>
          </w:p>
          <w:p w14:paraId="7778B316" w14:textId="77777777" w:rsidR="002A77AC" w:rsidRPr="00991A6C" w:rsidRDefault="002A77AC">
            <w:pPr>
              <w:rPr>
                <w:rFonts w:asciiTheme="majorHAnsi" w:hAnsiTheme="majorHAnsi" w:cs="Times New Roman"/>
              </w:rPr>
            </w:pPr>
          </w:p>
          <w:p w14:paraId="68E7445C" w14:textId="41AF7E98" w:rsidR="005367C3" w:rsidRDefault="00E66CA8" w:rsidP="007B69EE">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The emails sent to candidates will be stored on the Agency’s server, which backs up emails.</w:t>
            </w:r>
            <w:r w:rsidR="00BD29C0">
              <w:rPr>
                <w:rFonts w:asciiTheme="majorHAnsi" w:eastAsia="Times New Roman" w:hAnsiTheme="majorHAnsi" w:cs="Times New Roman"/>
                <w:bCs/>
                <w:iCs/>
                <w:sz w:val="20"/>
                <w:szCs w:val="20"/>
              </w:rPr>
              <w:t xml:space="preserve">  Further, invitation/rejection letters containing this data will be stored in hard copy and on the S: drive, accessible only by HR staff members.</w:t>
            </w:r>
          </w:p>
          <w:p w14:paraId="0E81ACD1" w14:textId="77777777" w:rsidR="007B69EE" w:rsidRPr="00991A6C" w:rsidRDefault="007B69EE" w:rsidP="005367C3">
            <w:pPr>
              <w:rPr>
                <w:rFonts w:asciiTheme="majorHAnsi" w:hAnsiTheme="majorHAnsi" w:cs="Times New Roman"/>
              </w:rPr>
            </w:pPr>
          </w:p>
        </w:tc>
      </w:tr>
      <w:tr w:rsidR="00B75A0F" w:rsidRPr="00991A6C" w14:paraId="07D5449C" w14:textId="77777777" w:rsidTr="0056317A">
        <w:tc>
          <w:tcPr>
            <w:tcW w:w="9498" w:type="dxa"/>
          </w:tcPr>
          <w:p w14:paraId="789287D8" w14:textId="59ED4C3D" w:rsidR="00DE4F31" w:rsidRPr="00991A6C" w:rsidRDefault="00F86BEF" w:rsidP="00566C6E">
            <w:pPr>
              <w:rPr>
                <w:rFonts w:asciiTheme="majorHAnsi" w:eastAsia="Times New Roman" w:hAnsiTheme="majorHAnsi" w:cs="Times New Roman"/>
                <w:b/>
                <w:bCs/>
                <w:sz w:val="20"/>
                <w:szCs w:val="20"/>
              </w:rPr>
            </w:pPr>
            <w:r w:rsidRPr="00991A6C">
              <w:rPr>
                <w:rFonts w:asciiTheme="majorHAnsi" w:eastAsia="Times New Roman" w:hAnsiTheme="majorHAnsi" w:cs="Times New Roman"/>
                <w:b/>
                <w:bCs/>
                <w:sz w:val="20"/>
                <w:szCs w:val="20"/>
              </w:rPr>
              <w:t xml:space="preserve"> 11/ </w:t>
            </w:r>
            <w:r w:rsidRPr="00A44DBC">
              <w:rPr>
                <w:rFonts w:asciiTheme="majorHAnsi" w:eastAsia="Times New Roman" w:hAnsiTheme="majorHAnsi" w:cs="Times New Roman"/>
                <w:b/>
                <w:bCs/>
                <w:sz w:val="20"/>
                <w:szCs w:val="20"/>
              </w:rPr>
              <w:t>Legal basis</w:t>
            </w:r>
            <w:r w:rsidRPr="00991A6C">
              <w:rPr>
                <w:rFonts w:asciiTheme="majorHAnsi" w:eastAsia="Times New Roman" w:hAnsiTheme="majorHAnsi" w:cs="Times New Roman"/>
                <w:b/>
                <w:bCs/>
                <w:sz w:val="20"/>
                <w:szCs w:val="20"/>
              </w:rPr>
              <w:t xml:space="preserve"> and lawfulness of the processing operation</w:t>
            </w:r>
            <w:r w:rsidR="009222FD" w:rsidRPr="00991A6C">
              <w:rPr>
                <w:rFonts w:asciiTheme="majorHAnsi" w:eastAsia="Times New Roman" w:hAnsiTheme="majorHAnsi" w:cs="Times New Roman"/>
                <w:b/>
                <w:bCs/>
                <w:sz w:val="20"/>
                <w:szCs w:val="20"/>
              </w:rPr>
              <w:t xml:space="preserve"> </w:t>
            </w:r>
          </w:p>
          <w:p w14:paraId="287256F1" w14:textId="77777777" w:rsidR="00D87A5A" w:rsidRPr="00991A6C" w:rsidRDefault="00D87A5A" w:rsidP="009222FD">
            <w:pPr>
              <w:rPr>
                <w:rFonts w:asciiTheme="majorHAnsi" w:eastAsia="Times New Roman" w:hAnsiTheme="majorHAnsi" w:cs="Times New Roman"/>
                <w:bCs/>
                <w:iCs/>
                <w:sz w:val="20"/>
                <w:szCs w:val="20"/>
              </w:rPr>
            </w:pPr>
          </w:p>
          <w:p w14:paraId="279E4AED" w14:textId="207F8A11" w:rsidR="005367C3" w:rsidRDefault="005367C3" w:rsidP="00410C9B">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The </w:t>
            </w:r>
            <w:r w:rsidR="00A44DBC">
              <w:rPr>
                <w:rFonts w:asciiTheme="majorHAnsi" w:eastAsia="Times New Roman" w:hAnsiTheme="majorHAnsi" w:cs="Times New Roman"/>
                <w:bCs/>
                <w:iCs/>
                <w:sz w:val="20"/>
                <w:szCs w:val="20"/>
              </w:rPr>
              <w:t>legal basis for this processing is Article 5(d) of Regulation (EC) 45/2001.</w:t>
            </w:r>
          </w:p>
          <w:p w14:paraId="74CC3A81" w14:textId="77777777" w:rsidR="00A44DBC" w:rsidRDefault="00A44DBC" w:rsidP="00410C9B">
            <w:pPr>
              <w:jc w:val="both"/>
              <w:rPr>
                <w:rFonts w:asciiTheme="majorHAnsi" w:eastAsia="Times New Roman" w:hAnsiTheme="majorHAnsi" w:cs="Times New Roman"/>
                <w:bCs/>
                <w:iCs/>
                <w:sz w:val="20"/>
                <w:szCs w:val="20"/>
              </w:rPr>
            </w:pPr>
          </w:p>
          <w:p w14:paraId="7145D7B1" w14:textId="3E770856" w:rsidR="009E068E" w:rsidRPr="00991A6C" w:rsidRDefault="00A44DBC" w:rsidP="00410C9B">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Data subjects are requested to provide their prior unambiguous consent to the disclosure of their names to all candidates </w:t>
            </w:r>
            <w:r w:rsidR="00E66CA8">
              <w:rPr>
                <w:rFonts w:asciiTheme="majorHAnsi" w:eastAsia="Times New Roman" w:hAnsiTheme="majorHAnsi" w:cs="Times New Roman"/>
                <w:bCs/>
                <w:iCs/>
                <w:sz w:val="20"/>
                <w:szCs w:val="20"/>
              </w:rPr>
              <w:t>in the selection procedure</w:t>
            </w:r>
            <w:r>
              <w:rPr>
                <w:rFonts w:asciiTheme="majorHAnsi" w:eastAsia="Times New Roman" w:hAnsiTheme="majorHAnsi" w:cs="Times New Roman"/>
                <w:bCs/>
                <w:iCs/>
                <w:sz w:val="20"/>
                <w:szCs w:val="20"/>
              </w:rPr>
              <w:t>.</w:t>
            </w:r>
            <w:r w:rsidR="00E66CA8">
              <w:rPr>
                <w:rFonts w:asciiTheme="majorHAnsi" w:eastAsia="Times New Roman" w:hAnsiTheme="majorHAnsi" w:cs="Times New Roman"/>
                <w:bCs/>
                <w:iCs/>
                <w:sz w:val="20"/>
                <w:szCs w:val="20"/>
              </w:rPr>
              <w:t xml:space="preserve"> They are informed that should they not wish to have their name disclosed, they cannot participate as a Selection Committee member.</w:t>
            </w:r>
          </w:p>
          <w:p w14:paraId="784B9D0F" w14:textId="77777777" w:rsidR="00410C9B" w:rsidRPr="00991A6C" w:rsidRDefault="00410C9B" w:rsidP="00410C9B">
            <w:pPr>
              <w:jc w:val="both"/>
              <w:rPr>
                <w:rFonts w:asciiTheme="majorHAnsi" w:hAnsiTheme="majorHAnsi" w:cs="Times New Roman"/>
              </w:rPr>
            </w:pPr>
          </w:p>
        </w:tc>
      </w:tr>
      <w:tr w:rsidR="00BB173E" w:rsidRPr="00BB173E" w14:paraId="0820F26A" w14:textId="77777777" w:rsidTr="0056317A">
        <w:tc>
          <w:tcPr>
            <w:tcW w:w="9498" w:type="dxa"/>
          </w:tcPr>
          <w:p w14:paraId="1BB5C767" w14:textId="5AC33E41" w:rsidR="00B75A0F" w:rsidRPr="00BB173E" w:rsidRDefault="00F86BEF">
            <w:pPr>
              <w:rPr>
                <w:rFonts w:asciiTheme="majorHAnsi" w:eastAsia="Times New Roman" w:hAnsiTheme="majorHAnsi" w:cs="Times New Roman"/>
                <w:b/>
                <w:bCs/>
                <w:sz w:val="20"/>
                <w:szCs w:val="20"/>
              </w:rPr>
            </w:pPr>
            <w:r w:rsidRPr="00BB173E">
              <w:rPr>
                <w:rFonts w:asciiTheme="majorHAnsi" w:eastAsia="Times New Roman" w:hAnsiTheme="majorHAnsi" w:cs="Times New Roman"/>
                <w:b/>
                <w:bCs/>
                <w:sz w:val="20"/>
                <w:szCs w:val="20"/>
              </w:rPr>
              <w:t> 12/ The recipients or categories of recipient to whom the data might be disclosed</w:t>
            </w:r>
          </w:p>
          <w:p w14:paraId="27AF6CC6" w14:textId="77777777" w:rsidR="002A77AC" w:rsidRPr="00BB173E" w:rsidRDefault="002A77AC">
            <w:pPr>
              <w:rPr>
                <w:rFonts w:asciiTheme="majorHAnsi" w:hAnsiTheme="majorHAnsi" w:cs="Times New Roman"/>
              </w:rPr>
            </w:pPr>
          </w:p>
          <w:p w14:paraId="57E07535" w14:textId="2AEBBBC2" w:rsidR="00A44DBC" w:rsidRDefault="00A44DBC" w:rsidP="00844F61">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The data will be disclosed to all candidates in a selection procedure.</w:t>
            </w:r>
            <w:r w:rsidR="00BD29C0">
              <w:rPr>
                <w:rFonts w:asciiTheme="majorHAnsi" w:eastAsia="Times New Roman" w:hAnsiTheme="majorHAnsi" w:cs="Times New Roman"/>
                <w:bCs/>
                <w:iCs/>
                <w:sz w:val="20"/>
                <w:szCs w:val="20"/>
              </w:rPr>
              <w:t xml:space="preserve">  Further, HR staff members will have access to the data.</w:t>
            </w:r>
          </w:p>
          <w:p w14:paraId="5F778B1E" w14:textId="77777777" w:rsidR="008D4E85" w:rsidRPr="00BB173E" w:rsidRDefault="008D4E85" w:rsidP="00E66CA8">
            <w:pPr>
              <w:jc w:val="both"/>
              <w:rPr>
                <w:rFonts w:asciiTheme="majorHAnsi" w:hAnsiTheme="majorHAnsi" w:cs="Times New Roman"/>
              </w:rPr>
            </w:pPr>
          </w:p>
        </w:tc>
      </w:tr>
      <w:tr w:rsidR="00BB173E" w:rsidRPr="00BB173E" w14:paraId="3E26CF6F" w14:textId="77777777" w:rsidTr="0056317A">
        <w:tc>
          <w:tcPr>
            <w:tcW w:w="9498" w:type="dxa"/>
          </w:tcPr>
          <w:p w14:paraId="7300914A" w14:textId="720463BD" w:rsidR="002A77AC" w:rsidRPr="00BB173E" w:rsidRDefault="00F86BEF" w:rsidP="00443F5B">
            <w:pPr>
              <w:rPr>
                <w:rFonts w:asciiTheme="majorHAnsi" w:eastAsia="Times New Roman" w:hAnsiTheme="majorHAnsi" w:cs="Times New Roman"/>
                <w:b/>
                <w:bCs/>
                <w:sz w:val="20"/>
                <w:szCs w:val="20"/>
              </w:rPr>
            </w:pPr>
            <w:r w:rsidRPr="00BB173E">
              <w:rPr>
                <w:rFonts w:asciiTheme="majorHAnsi" w:eastAsia="Times New Roman" w:hAnsiTheme="majorHAnsi" w:cs="Times New Roman"/>
                <w:b/>
                <w:bCs/>
                <w:sz w:val="20"/>
                <w:szCs w:val="20"/>
              </w:rPr>
              <w:t> 13/ Retention policy of (categories of) personal data</w:t>
            </w:r>
            <w:r w:rsidR="00796250" w:rsidRPr="00BB173E">
              <w:rPr>
                <w:rFonts w:asciiTheme="majorHAnsi" w:eastAsia="Times New Roman" w:hAnsiTheme="majorHAnsi" w:cs="Times New Roman"/>
                <w:b/>
                <w:bCs/>
                <w:sz w:val="20"/>
                <w:szCs w:val="20"/>
              </w:rPr>
              <w:t xml:space="preserve"> </w:t>
            </w:r>
          </w:p>
          <w:p w14:paraId="77D2BA57" w14:textId="77777777" w:rsidR="002A77AC" w:rsidRPr="00BB173E" w:rsidRDefault="002A77AC" w:rsidP="002E38AD">
            <w:pPr>
              <w:rPr>
                <w:rFonts w:asciiTheme="majorHAnsi" w:eastAsia="Times New Roman" w:hAnsiTheme="majorHAnsi" w:cs="Times New Roman"/>
                <w:bCs/>
                <w:sz w:val="20"/>
                <w:szCs w:val="20"/>
              </w:rPr>
            </w:pPr>
          </w:p>
          <w:p w14:paraId="58DB6EEA" w14:textId="77777777" w:rsidR="00BD29C0" w:rsidRDefault="00E66CA8" w:rsidP="00D13D62">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 xml:space="preserve">The emails sent to candidates will be stored on the </w:t>
            </w:r>
            <w:r w:rsidR="00D13D62">
              <w:rPr>
                <w:rFonts w:asciiTheme="majorHAnsi" w:eastAsia="Times New Roman" w:hAnsiTheme="majorHAnsi" w:cs="Times New Roman"/>
                <w:bCs/>
                <w:iCs/>
                <w:sz w:val="20"/>
                <w:szCs w:val="20"/>
              </w:rPr>
              <w:t>computer/server of the staff member who sent the emails.  Staff members’ emails are stored on the computer/server until either (</w:t>
            </w:r>
            <w:proofErr w:type="spellStart"/>
            <w:r w:rsidR="00D13D62">
              <w:rPr>
                <w:rFonts w:asciiTheme="majorHAnsi" w:eastAsia="Times New Roman" w:hAnsiTheme="majorHAnsi" w:cs="Times New Roman"/>
                <w:bCs/>
                <w:iCs/>
                <w:sz w:val="20"/>
                <w:szCs w:val="20"/>
              </w:rPr>
              <w:t>i</w:t>
            </w:r>
            <w:proofErr w:type="spellEnd"/>
            <w:r w:rsidR="00D13D62">
              <w:rPr>
                <w:rFonts w:asciiTheme="majorHAnsi" w:eastAsia="Times New Roman" w:hAnsiTheme="majorHAnsi" w:cs="Times New Roman"/>
                <w:bCs/>
                <w:iCs/>
                <w:sz w:val="20"/>
                <w:szCs w:val="20"/>
              </w:rPr>
              <w:t>) they are manually deleted by the staff member, or (ii) up until 6 months after the staff member leaves the Agency.</w:t>
            </w:r>
            <w:r w:rsidR="00D13D62" w:rsidDel="00E66CA8">
              <w:rPr>
                <w:rFonts w:asciiTheme="majorHAnsi" w:eastAsia="Times New Roman" w:hAnsiTheme="majorHAnsi" w:cs="Times New Roman"/>
                <w:bCs/>
                <w:iCs/>
                <w:sz w:val="20"/>
                <w:szCs w:val="20"/>
              </w:rPr>
              <w:t xml:space="preserve"> </w:t>
            </w:r>
            <w:r w:rsidR="00BD29C0">
              <w:rPr>
                <w:rFonts w:asciiTheme="majorHAnsi" w:eastAsia="Times New Roman" w:hAnsiTheme="majorHAnsi" w:cs="Times New Roman"/>
                <w:bCs/>
                <w:iCs/>
                <w:sz w:val="20"/>
                <w:szCs w:val="20"/>
              </w:rPr>
              <w:t xml:space="preserve"> </w:t>
            </w:r>
          </w:p>
          <w:p w14:paraId="71BC14E0" w14:textId="77777777" w:rsidR="00BD29C0" w:rsidRDefault="00BD29C0" w:rsidP="00D13D62">
            <w:pPr>
              <w:jc w:val="both"/>
              <w:rPr>
                <w:rFonts w:asciiTheme="majorHAnsi" w:eastAsia="Times New Roman" w:hAnsiTheme="majorHAnsi" w:cs="Times New Roman"/>
                <w:bCs/>
                <w:iCs/>
                <w:sz w:val="20"/>
                <w:szCs w:val="20"/>
              </w:rPr>
            </w:pPr>
          </w:p>
          <w:p w14:paraId="3FBFDA4F" w14:textId="1B7051A2" w:rsidR="00E66CA8" w:rsidRPr="00BB173E" w:rsidRDefault="00BD29C0">
            <w:pPr>
              <w:jc w:val="both"/>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In respect of the invitation/rejection letters, these are stored for [</w:t>
            </w:r>
            <w:r w:rsidRPr="007A2E16">
              <w:rPr>
                <w:rFonts w:asciiTheme="majorHAnsi" w:eastAsia="Times New Roman" w:hAnsiTheme="majorHAnsi" w:cs="Times New Roman"/>
                <w:bCs/>
                <w:iCs/>
                <w:sz w:val="20"/>
                <w:szCs w:val="20"/>
                <w:highlight w:val="yellow"/>
              </w:rPr>
              <w:t>time</w:t>
            </w:r>
            <w:r>
              <w:rPr>
                <w:rFonts w:asciiTheme="majorHAnsi" w:eastAsia="Times New Roman" w:hAnsiTheme="majorHAnsi" w:cs="Times New Roman"/>
                <w:bCs/>
                <w:iCs/>
                <w:sz w:val="20"/>
                <w:szCs w:val="20"/>
              </w:rPr>
              <w:t>] in hard copy and on the S</w:t>
            </w:r>
            <w:proofErr w:type="gramStart"/>
            <w:r>
              <w:rPr>
                <w:rFonts w:asciiTheme="majorHAnsi" w:eastAsia="Times New Roman" w:hAnsiTheme="majorHAnsi" w:cs="Times New Roman"/>
                <w:bCs/>
                <w:iCs/>
                <w:sz w:val="20"/>
                <w:szCs w:val="20"/>
              </w:rPr>
              <w:t>:drive</w:t>
            </w:r>
            <w:proofErr w:type="gramEnd"/>
            <w:r>
              <w:rPr>
                <w:rFonts w:asciiTheme="majorHAnsi" w:eastAsia="Times New Roman" w:hAnsiTheme="majorHAnsi" w:cs="Times New Roman"/>
                <w:bCs/>
                <w:iCs/>
                <w:sz w:val="20"/>
                <w:szCs w:val="20"/>
              </w:rPr>
              <w:t xml:space="preserve">, accessible only by HR staff members. </w:t>
            </w:r>
          </w:p>
        </w:tc>
      </w:tr>
      <w:tr w:rsidR="00BB173E" w:rsidRPr="00BB173E" w14:paraId="6F480002" w14:textId="77777777" w:rsidTr="0056317A">
        <w:tc>
          <w:tcPr>
            <w:tcW w:w="9498" w:type="dxa"/>
          </w:tcPr>
          <w:p w14:paraId="71F09AC8" w14:textId="77777777" w:rsidR="00B75A0F" w:rsidRPr="00BB173E" w:rsidRDefault="00F86BEF">
            <w:pPr>
              <w:rPr>
                <w:rFonts w:asciiTheme="majorHAnsi" w:eastAsia="Times New Roman" w:hAnsiTheme="majorHAnsi" w:cs="Times New Roman"/>
                <w:bCs/>
                <w:iCs/>
                <w:sz w:val="20"/>
                <w:szCs w:val="20"/>
              </w:rPr>
            </w:pPr>
            <w:r w:rsidRPr="00BB173E">
              <w:rPr>
                <w:rFonts w:asciiTheme="majorHAnsi" w:eastAsia="Times New Roman" w:hAnsiTheme="majorHAnsi" w:cs="Times New Roman"/>
                <w:b/>
                <w:bCs/>
                <w:sz w:val="20"/>
                <w:szCs w:val="20"/>
              </w:rPr>
              <w:t xml:space="preserve"> 13 a/ time limits for blocking and erasure of the different categories of data </w:t>
            </w:r>
            <w:r w:rsidRPr="00BB173E">
              <w:rPr>
                <w:rFonts w:asciiTheme="majorHAnsi" w:eastAsia="Times New Roman" w:hAnsiTheme="majorHAnsi" w:cs="Times New Roman"/>
                <w:b/>
                <w:bCs/>
                <w:sz w:val="20"/>
                <w:szCs w:val="20"/>
              </w:rPr>
              <w:br/>
              <w:t>(on justified legitimate request from the data subject)</w:t>
            </w:r>
            <w:r w:rsidRPr="00BB173E">
              <w:rPr>
                <w:rFonts w:asciiTheme="majorHAnsi" w:eastAsia="Times New Roman" w:hAnsiTheme="majorHAnsi" w:cs="Times New Roman"/>
                <w:b/>
                <w:bCs/>
                <w:sz w:val="20"/>
                <w:szCs w:val="20"/>
              </w:rPr>
              <w:br/>
            </w:r>
          </w:p>
          <w:p w14:paraId="366ED31B" w14:textId="2068FCF5" w:rsidR="00844F61" w:rsidRPr="00BB173E" w:rsidRDefault="00321A42" w:rsidP="002C285D">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Not Applicable</w:t>
            </w:r>
          </w:p>
          <w:p w14:paraId="54A594BD" w14:textId="77777777" w:rsidR="0050523F" w:rsidRPr="00BB173E" w:rsidRDefault="0050523F" w:rsidP="002C285D">
            <w:pPr>
              <w:rPr>
                <w:rFonts w:asciiTheme="majorHAnsi" w:eastAsia="Times New Roman" w:hAnsiTheme="majorHAnsi" w:cs="Times New Roman"/>
                <w:bCs/>
                <w:iCs/>
                <w:sz w:val="20"/>
                <w:szCs w:val="20"/>
              </w:rPr>
            </w:pPr>
          </w:p>
        </w:tc>
      </w:tr>
      <w:tr w:rsidR="00BB173E" w:rsidRPr="00BB173E" w14:paraId="0627B679" w14:textId="77777777" w:rsidTr="0056317A">
        <w:tc>
          <w:tcPr>
            <w:tcW w:w="9498" w:type="dxa"/>
          </w:tcPr>
          <w:p w14:paraId="4E692746" w14:textId="1EA060E6" w:rsidR="00BB173E" w:rsidRDefault="00F86BEF" w:rsidP="00321A42">
            <w:pPr>
              <w:rPr>
                <w:rFonts w:asciiTheme="majorHAnsi" w:eastAsia="Times New Roman" w:hAnsiTheme="majorHAnsi" w:cs="Times New Roman"/>
                <w:bCs/>
                <w:iCs/>
                <w:sz w:val="20"/>
                <w:szCs w:val="20"/>
              </w:rPr>
            </w:pPr>
            <w:r w:rsidRPr="00BB173E">
              <w:rPr>
                <w:rFonts w:asciiTheme="majorHAnsi" w:eastAsia="Times New Roman" w:hAnsiTheme="majorHAnsi" w:cs="Times New Roman"/>
                <w:b/>
                <w:bCs/>
                <w:sz w:val="20"/>
                <w:szCs w:val="20"/>
              </w:rPr>
              <w:lastRenderedPageBreak/>
              <w:t xml:space="preserve"> 14/ Historical, statistical or scientific purposes </w:t>
            </w:r>
            <w:r w:rsidRPr="00BB173E">
              <w:rPr>
                <w:rFonts w:asciiTheme="majorHAnsi" w:eastAsia="Times New Roman" w:hAnsiTheme="majorHAnsi" w:cs="Times New Roman"/>
                <w:b/>
                <w:bCs/>
                <w:sz w:val="20"/>
                <w:szCs w:val="20"/>
              </w:rPr>
              <w:br/>
            </w:r>
          </w:p>
          <w:p w14:paraId="11BF3CA7" w14:textId="4E8FCD15" w:rsidR="00321A42" w:rsidRPr="00BB173E" w:rsidRDefault="00321A42" w:rsidP="00321A42">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Not Applicable</w:t>
            </w:r>
          </w:p>
          <w:p w14:paraId="1AB0A7F2" w14:textId="77777777" w:rsidR="0050523F" w:rsidRPr="00BB173E" w:rsidRDefault="0050523F" w:rsidP="00EF6006">
            <w:pPr>
              <w:rPr>
                <w:rFonts w:asciiTheme="majorHAnsi" w:hAnsiTheme="majorHAnsi" w:cs="Times New Roman"/>
              </w:rPr>
            </w:pPr>
          </w:p>
        </w:tc>
      </w:tr>
      <w:tr w:rsidR="00B45752" w:rsidRPr="00B45752" w14:paraId="3A54C682" w14:textId="77777777" w:rsidTr="0056317A">
        <w:tc>
          <w:tcPr>
            <w:tcW w:w="9498" w:type="dxa"/>
          </w:tcPr>
          <w:p w14:paraId="3C900557" w14:textId="77777777" w:rsidR="00B75A0F" w:rsidRPr="00BB173E" w:rsidRDefault="00F86BEF">
            <w:pPr>
              <w:rPr>
                <w:rFonts w:asciiTheme="majorHAnsi" w:eastAsia="Times New Roman" w:hAnsiTheme="majorHAnsi" w:cs="Times New Roman"/>
                <w:b/>
                <w:bCs/>
                <w:iCs/>
                <w:sz w:val="20"/>
                <w:szCs w:val="20"/>
              </w:rPr>
            </w:pPr>
            <w:r w:rsidRPr="00BB173E">
              <w:rPr>
                <w:rFonts w:asciiTheme="majorHAnsi" w:eastAsia="Times New Roman" w:hAnsiTheme="majorHAnsi" w:cs="Times New Roman"/>
                <w:b/>
                <w:bCs/>
                <w:sz w:val="20"/>
                <w:szCs w:val="20"/>
              </w:rPr>
              <w:t> </w:t>
            </w:r>
            <w:r w:rsidRPr="00BB173E">
              <w:rPr>
                <w:rFonts w:asciiTheme="majorHAnsi" w:eastAsia="Times New Roman" w:hAnsiTheme="majorHAnsi" w:cs="Times New Roman"/>
                <w:b/>
                <w:bCs/>
                <w:iCs/>
                <w:sz w:val="20"/>
                <w:szCs w:val="20"/>
              </w:rPr>
              <w:t xml:space="preserve">15/ Proposed transfers of data to third countries or international </w:t>
            </w:r>
            <w:proofErr w:type="spellStart"/>
            <w:r w:rsidRPr="00BB173E">
              <w:rPr>
                <w:rFonts w:asciiTheme="majorHAnsi" w:eastAsia="Times New Roman" w:hAnsiTheme="majorHAnsi" w:cs="Times New Roman"/>
                <w:b/>
                <w:bCs/>
                <w:iCs/>
                <w:sz w:val="20"/>
                <w:szCs w:val="20"/>
              </w:rPr>
              <w:t>organisations</w:t>
            </w:r>
            <w:proofErr w:type="spellEnd"/>
          </w:p>
          <w:p w14:paraId="3EF99632" w14:textId="77777777" w:rsidR="00321A42" w:rsidRDefault="00321A42" w:rsidP="00321A42">
            <w:pPr>
              <w:rPr>
                <w:rFonts w:asciiTheme="majorHAnsi" w:eastAsia="Times New Roman" w:hAnsiTheme="majorHAnsi" w:cs="Times New Roman"/>
                <w:bCs/>
                <w:iCs/>
                <w:sz w:val="20"/>
                <w:szCs w:val="20"/>
              </w:rPr>
            </w:pPr>
          </w:p>
          <w:p w14:paraId="15F39903" w14:textId="156C1C2D" w:rsidR="0050523F" w:rsidRDefault="00321A42" w:rsidP="00EF6006">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Not Applicable</w:t>
            </w:r>
          </w:p>
          <w:p w14:paraId="67E7953A" w14:textId="0803D449" w:rsidR="00321A42" w:rsidRPr="00321A42" w:rsidRDefault="00321A42" w:rsidP="00EF6006">
            <w:pPr>
              <w:rPr>
                <w:rFonts w:asciiTheme="majorHAnsi" w:eastAsia="Times New Roman" w:hAnsiTheme="majorHAnsi" w:cs="Times New Roman"/>
                <w:bCs/>
                <w:iCs/>
                <w:sz w:val="20"/>
                <w:szCs w:val="20"/>
              </w:rPr>
            </w:pPr>
          </w:p>
        </w:tc>
      </w:tr>
      <w:tr w:rsidR="00B45752" w:rsidRPr="00B45752" w14:paraId="732AFF7F" w14:textId="77777777" w:rsidTr="0056317A">
        <w:tc>
          <w:tcPr>
            <w:tcW w:w="9498" w:type="dxa"/>
            <w:vAlign w:val="center"/>
          </w:tcPr>
          <w:p w14:paraId="61504D67" w14:textId="77777777" w:rsidR="00F86BEF" w:rsidRPr="00BB173E" w:rsidRDefault="00F86BEF" w:rsidP="006E0788">
            <w:pPr>
              <w:rPr>
                <w:rFonts w:asciiTheme="majorHAnsi" w:eastAsia="Times New Roman" w:hAnsiTheme="majorHAnsi" w:cs="Times New Roman"/>
                <w:b/>
                <w:bCs/>
                <w:sz w:val="20"/>
                <w:szCs w:val="20"/>
              </w:rPr>
            </w:pPr>
            <w:r w:rsidRPr="00BB173E">
              <w:rPr>
                <w:rFonts w:asciiTheme="majorHAnsi" w:eastAsia="Times New Roman" w:hAnsiTheme="majorHAnsi" w:cs="Times New Roman"/>
                <w:b/>
                <w:bCs/>
                <w:sz w:val="20"/>
                <w:szCs w:val="20"/>
              </w:rPr>
              <w:t xml:space="preserve"> 16/ The processing operation presents specific risk which justifies prior checking </w:t>
            </w:r>
          </w:p>
          <w:p w14:paraId="60B66300" w14:textId="77777777" w:rsidR="002A77AC" w:rsidRPr="00BB173E" w:rsidRDefault="002A77AC" w:rsidP="00D67522">
            <w:pPr>
              <w:rPr>
                <w:rFonts w:asciiTheme="majorHAnsi" w:eastAsia="Times New Roman" w:hAnsiTheme="majorHAnsi" w:cs="Times New Roman"/>
                <w:bCs/>
                <w:sz w:val="20"/>
                <w:szCs w:val="20"/>
              </w:rPr>
            </w:pPr>
          </w:p>
          <w:p w14:paraId="5000D722" w14:textId="5D595940" w:rsidR="00D67522" w:rsidRPr="00BB173E" w:rsidRDefault="00321A42" w:rsidP="00EF6006">
            <w:pPr>
              <w:rPr>
                <w:rFonts w:asciiTheme="majorHAnsi" w:eastAsia="Times New Roman" w:hAnsiTheme="majorHAnsi" w:cs="Times New Roman"/>
                <w:bCs/>
                <w:iCs/>
                <w:sz w:val="20"/>
                <w:szCs w:val="20"/>
              </w:rPr>
            </w:pPr>
            <w:r>
              <w:rPr>
                <w:rFonts w:asciiTheme="majorHAnsi" w:eastAsia="Times New Roman" w:hAnsiTheme="majorHAnsi" w:cs="Times New Roman"/>
                <w:bCs/>
                <w:iCs/>
                <w:sz w:val="20"/>
                <w:szCs w:val="20"/>
              </w:rPr>
              <w:t>Not Applicable</w:t>
            </w:r>
          </w:p>
          <w:p w14:paraId="4B4A0EEA" w14:textId="77777777" w:rsidR="0050523F" w:rsidRPr="00BB173E" w:rsidRDefault="0050523F" w:rsidP="00EF6006">
            <w:pPr>
              <w:rPr>
                <w:rFonts w:asciiTheme="majorHAnsi" w:eastAsia="Times New Roman" w:hAnsiTheme="majorHAnsi" w:cs="Times New Roman"/>
                <w:b/>
                <w:bCs/>
                <w:sz w:val="20"/>
                <w:szCs w:val="20"/>
              </w:rPr>
            </w:pPr>
          </w:p>
        </w:tc>
      </w:tr>
      <w:tr w:rsidR="00B45752" w:rsidRPr="00B45752" w14:paraId="26186596" w14:textId="77777777" w:rsidTr="0056317A">
        <w:tc>
          <w:tcPr>
            <w:tcW w:w="9498" w:type="dxa"/>
            <w:vAlign w:val="center"/>
          </w:tcPr>
          <w:p w14:paraId="539898D5" w14:textId="77777777" w:rsidR="00F86BEF" w:rsidRPr="00BB173E" w:rsidRDefault="00F86BEF" w:rsidP="006E0788">
            <w:pPr>
              <w:rPr>
                <w:rFonts w:asciiTheme="majorHAnsi" w:eastAsia="Times New Roman" w:hAnsiTheme="majorHAnsi" w:cs="Times New Roman"/>
                <w:b/>
                <w:bCs/>
                <w:sz w:val="20"/>
                <w:szCs w:val="20"/>
              </w:rPr>
            </w:pPr>
            <w:r w:rsidRPr="00BB173E">
              <w:rPr>
                <w:rFonts w:asciiTheme="majorHAnsi" w:eastAsia="Times New Roman" w:hAnsiTheme="majorHAnsi" w:cs="Times New Roman"/>
                <w:b/>
                <w:bCs/>
                <w:sz w:val="20"/>
                <w:szCs w:val="20"/>
              </w:rPr>
              <w:t> 17/ Comments</w:t>
            </w:r>
          </w:p>
          <w:p w14:paraId="202BFA39" w14:textId="77777777" w:rsidR="002A77AC" w:rsidRDefault="002A77AC" w:rsidP="006E0788">
            <w:pPr>
              <w:rPr>
                <w:rFonts w:asciiTheme="majorHAnsi" w:eastAsia="Times New Roman" w:hAnsiTheme="majorHAnsi" w:cs="Times New Roman"/>
                <w:bCs/>
                <w:iCs/>
                <w:sz w:val="20"/>
                <w:szCs w:val="20"/>
              </w:rPr>
            </w:pPr>
          </w:p>
          <w:p w14:paraId="522B2430" w14:textId="03E38441" w:rsidR="000550AB" w:rsidRPr="00BB173E" w:rsidRDefault="00321A42" w:rsidP="00EF6006">
            <w:pPr>
              <w:rPr>
                <w:rFonts w:asciiTheme="majorHAnsi" w:eastAsia="Times New Roman" w:hAnsiTheme="majorHAnsi" w:cs="Times New Roman"/>
                <w:b/>
                <w:bCs/>
                <w:sz w:val="20"/>
                <w:szCs w:val="20"/>
              </w:rPr>
            </w:pPr>
            <w:r>
              <w:rPr>
                <w:rFonts w:asciiTheme="majorHAnsi" w:eastAsia="Times New Roman" w:hAnsiTheme="majorHAnsi" w:cs="Times New Roman"/>
                <w:bCs/>
                <w:iCs/>
                <w:sz w:val="20"/>
                <w:szCs w:val="20"/>
              </w:rPr>
              <w:t>Not Applicable</w:t>
            </w:r>
          </w:p>
          <w:p w14:paraId="5C182A37" w14:textId="77777777" w:rsidR="0050523F" w:rsidRPr="00BB173E" w:rsidRDefault="0050523F" w:rsidP="00EF6006">
            <w:pPr>
              <w:rPr>
                <w:rFonts w:asciiTheme="majorHAnsi" w:eastAsia="Times New Roman" w:hAnsiTheme="majorHAnsi" w:cs="Times New Roman"/>
                <w:b/>
                <w:bCs/>
                <w:sz w:val="20"/>
                <w:szCs w:val="20"/>
              </w:rPr>
            </w:pPr>
          </w:p>
        </w:tc>
      </w:tr>
      <w:tr w:rsidR="00102FA1" w:rsidRPr="00102FA1" w14:paraId="6A3D3626" w14:textId="77777777" w:rsidTr="0056317A">
        <w:tc>
          <w:tcPr>
            <w:tcW w:w="9498" w:type="dxa"/>
          </w:tcPr>
          <w:p w14:paraId="10FDEAA9" w14:textId="5514B25C" w:rsidR="00796250" w:rsidRPr="00102FA1" w:rsidRDefault="00F86BEF" w:rsidP="00796250">
            <w:pPr>
              <w:rPr>
                <w:rFonts w:asciiTheme="majorHAnsi" w:eastAsia="Times New Roman" w:hAnsiTheme="majorHAnsi" w:cs="Times New Roman"/>
                <w:b/>
                <w:bCs/>
                <w:i/>
                <w:iCs/>
                <w:sz w:val="18"/>
                <w:szCs w:val="18"/>
              </w:rPr>
            </w:pPr>
            <w:r w:rsidRPr="00102FA1">
              <w:rPr>
                <w:rFonts w:asciiTheme="majorHAnsi" w:eastAsia="Times New Roman" w:hAnsiTheme="majorHAnsi" w:cs="Times New Roman"/>
                <w:b/>
                <w:bCs/>
                <w:sz w:val="20"/>
                <w:szCs w:val="20"/>
              </w:rPr>
              <w:t xml:space="preserve"> 18/ Measures to ensure security of processing </w:t>
            </w:r>
            <w:r w:rsidRPr="00102FA1">
              <w:rPr>
                <w:rFonts w:asciiTheme="majorHAnsi" w:eastAsia="Times New Roman" w:hAnsiTheme="majorHAnsi" w:cs="Times New Roman"/>
                <w:b/>
                <w:bCs/>
                <w:i/>
                <w:iCs/>
                <w:sz w:val="16"/>
                <w:szCs w:val="16"/>
              </w:rPr>
              <w:t>(3</w:t>
            </w:r>
            <w:proofErr w:type="gramStart"/>
            <w:r w:rsidRPr="00102FA1">
              <w:rPr>
                <w:rFonts w:asciiTheme="majorHAnsi" w:eastAsia="Times New Roman" w:hAnsiTheme="majorHAnsi" w:cs="Times New Roman"/>
                <w:b/>
                <w:bCs/>
                <w:i/>
                <w:iCs/>
                <w:sz w:val="16"/>
                <w:szCs w:val="16"/>
              </w:rPr>
              <w:t>)</w:t>
            </w:r>
            <w:proofErr w:type="gramEnd"/>
            <w:r w:rsidRPr="00102FA1">
              <w:rPr>
                <w:rFonts w:asciiTheme="majorHAnsi" w:eastAsia="Times New Roman" w:hAnsiTheme="majorHAnsi" w:cs="Times New Roman"/>
                <w:b/>
                <w:bCs/>
                <w:sz w:val="20"/>
                <w:szCs w:val="20"/>
              </w:rPr>
              <w:br/>
            </w:r>
            <w:r w:rsidR="00796250" w:rsidRPr="00102FA1">
              <w:rPr>
                <w:rFonts w:asciiTheme="majorHAnsi" w:eastAsia="Times New Roman" w:hAnsiTheme="majorHAnsi" w:cs="Times New Roman"/>
                <w:b/>
                <w:bCs/>
                <w:i/>
                <w:iCs/>
                <w:sz w:val="18"/>
                <w:szCs w:val="18"/>
              </w:rPr>
              <w:t xml:space="preserve">these measures are described in Article 22 of Regulation 45/2001. </w:t>
            </w:r>
          </w:p>
          <w:p w14:paraId="78200D96" w14:textId="77777777" w:rsidR="00B048E3" w:rsidRPr="00102FA1" w:rsidRDefault="0018304B" w:rsidP="00796250">
            <w:pPr>
              <w:rPr>
                <w:rFonts w:asciiTheme="majorHAnsi" w:eastAsia="Times New Roman" w:hAnsiTheme="majorHAnsi" w:cs="Times New Roman"/>
                <w:b/>
                <w:bCs/>
                <w:iCs/>
                <w:sz w:val="18"/>
                <w:szCs w:val="18"/>
              </w:rPr>
            </w:pPr>
            <w:r w:rsidRPr="00102FA1">
              <w:rPr>
                <w:rFonts w:asciiTheme="majorHAnsi" w:eastAsia="Times New Roman" w:hAnsiTheme="majorHAnsi" w:cs="Times New Roman"/>
                <w:b/>
                <w:bCs/>
                <w:iCs/>
                <w:sz w:val="18"/>
                <w:szCs w:val="18"/>
              </w:rPr>
              <w:t xml:space="preserve"> </w:t>
            </w:r>
          </w:p>
          <w:p w14:paraId="17F96141" w14:textId="5296A61E" w:rsidR="00102FA1" w:rsidRPr="00321A42" w:rsidRDefault="00E66CA8" w:rsidP="00321A42">
            <w:pPr>
              <w:jc w:val="both"/>
              <w:rPr>
                <w:rFonts w:asciiTheme="majorHAnsi" w:hAnsiTheme="majorHAnsi" w:cs="Times New Roman"/>
                <w:sz w:val="20"/>
              </w:rPr>
            </w:pPr>
            <w:r>
              <w:rPr>
                <w:rFonts w:asciiTheme="majorHAnsi" w:hAnsiTheme="majorHAnsi" w:cs="Times New Roman"/>
                <w:sz w:val="20"/>
              </w:rPr>
              <w:t>The emails sent to candidates will only be accessible to authorized persons, namely, the sender and, exceptionally, the IT team.</w:t>
            </w:r>
            <w:r w:rsidR="00BD29C0">
              <w:rPr>
                <w:rFonts w:asciiTheme="majorHAnsi" w:hAnsiTheme="majorHAnsi" w:cs="Times New Roman"/>
                <w:sz w:val="20"/>
              </w:rPr>
              <w:t xml:space="preserve">  The invitation/rejection letters stored in hard copy and on the S</w:t>
            </w:r>
            <w:proofErr w:type="gramStart"/>
            <w:r w:rsidR="00BD29C0">
              <w:rPr>
                <w:rFonts w:asciiTheme="majorHAnsi" w:hAnsiTheme="majorHAnsi" w:cs="Times New Roman"/>
                <w:sz w:val="20"/>
              </w:rPr>
              <w:t>:drive</w:t>
            </w:r>
            <w:proofErr w:type="gramEnd"/>
            <w:r w:rsidR="00BD29C0">
              <w:rPr>
                <w:rFonts w:asciiTheme="majorHAnsi" w:hAnsiTheme="majorHAnsi" w:cs="Times New Roman"/>
                <w:sz w:val="20"/>
              </w:rPr>
              <w:t xml:space="preserve"> are accessible only by HR staff members (safe with a code / electronic access rights).</w:t>
            </w:r>
          </w:p>
          <w:p w14:paraId="00B63C8A" w14:textId="48EFD613" w:rsidR="00102FA1" w:rsidRPr="00102FA1" w:rsidRDefault="00102FA1" w:rsidP="00FE72EB">
            <w:pPr>
              <w:jc w:val="both"/>
              <w:rPr>
                <w:rFonts w:asciiTheme="majorHAnsi" w:hAnsiTheme="majorHAnsi" w:cs="Times New Roman"/>
              </w:rPr>
            </w:pPr>
          </w:p>
        </w:tc>
      </w:tr>
    </w:tbl>
    <w:p w14:paraId="49533C9A" w14:textId="77777777" w:rsidR="00B75A0F" w:rsidRPr="00B45752" w:rsidRDefault="00B75A0F">
      <w:pPr>
        <w:rPr>
          <w:rFonts w:asciiTheme="majorHAnsi" w:hAnsiTheme="majorHAnsi" w:cs="Times New Roman"/>
          <w:color w:val="FF0000"/>
        </w:rPr>
      </w:pPr>
    </w:p>
    <w:tbl>
      <w:tblPr>
        <w:tblW w:w="9513" w:type="dxa"/>
        <w:tblInd w:w="93" w:type="dxa"/>
        <w:tblLook w:val="04A0" w:firstRow="1" w:lastRow="0" w:firstColumn="1" w:lastColumn="0" w:noHBand="0" w:noVBand="1"/>
      </w:tblPr>
      <w:tblGrid>
        <w:gridCol w:w="9513"/>
      </w:tblGrid>
      <w:tr w:rsidR="00102FA1" w:rsidRPr="00102FA1" w14:paraId="164882FA" w14:textId="77777777" w:rsidTr="007A02DE">
        <w:trPr>
          <w:trHeight w:val="17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14:paraId="1948BB5C" w14:textId="37497222" w:rsidR="00F86BEF" w:rsidRPr="00102FA1" w:rsidRDefault="00F86BEF" w:rsidP="00E66CA8">
            <w:pPr>
              <w:spacing w:after="0" w:line="240" w:lineRule="auto"/>
              <w:rPr>
                <w:rFonts w:asciiTheme="majorHAnsi" w:eastAsia="Times New Roman" w:hAnsiTheme="majorHAnsi" w:cs="Times New Roman"/>
                <w:sz w:val="20"/>
                <w:szCs w:val="20"/>
              </w:rPr>
            </w:pPr>
            <w:r w:rsidRPr="00102FA1">
              <w:rPr>
                <w:rFonts w:asciiTheme="majorHAnsi" w:eastAsia="Times New Roman" w:hAnsiTheme="majorHAnsi" w:cs="Times New Roman"/>
                <w:sz w:val="20"/>
                <w:szCs w:val="20"/>
              </w:rPr>
              <w:br/>
              <w:t xml:space="preserve">PLACE AND DATE: Ljubljana, Slovenia; </w:t>
            </w:r>
            <w:r w:rsidR="00E66CA8">
              <w:rPr>
                <w:rFonts w:asciiTheme="majorHAnsi" w:eastAsia="Times New Roman" w:hAnsiTheme="majorHAnsi" w:cs="Times New Roman"/>
                <w:sz w:val="20"/>
                <w:szCs w:val="20"/>
              </w:rPr>
              <w:t>10 August</w:t>
            </w:r>
            <w:r w:rsidR="00BA010B" w:rsidRPr="00102FA1">
              <w:rPr>
                <w:rFonts w:asciiTheme="majorHAnsi" w:eastAsia="Times New Roman" w:hAnsiTheme="majorHAnsi" w:cs="Times New Roman"/>
                <w:sz w:val="20"/>
                <w:szCs w:val="20"/>
              </w:rPr>
              <w:t xml:space="preserve"> </w:t>
            </w:r>
            <w:r w:rsidR="007A02DE" w:rsidRPr="00102FA1">
              <w:rPr>
                <w:rFonts w:asciiTheme="majorHAnsi" w:eastAsia="Times New Roman" w:hAnsiTheme="majorHAnsi" w:cs="Times New Roman"/>
                <w:sz w:val="20"/>
                <w:szCs w:val="20"/>
              </w:rPr>
              <w:t>2015</w:t>
            </w:r>
            <w:r w:rsidRPr="00102FA1">
              <w:rPr>
                <w:rFonts w:asciiTheme="majorHAnsi" w:eastAsia="Times New Roman" w:hAnsiTheme="majorHAnsi" w:cs="Times New Roman"/>
                <w:sz w:val="20"/>
                <w:szCs w:val="20"/>
              </w:rPr>
              <w:br/>
            </w:r>
            <w:r w:rsidRPr="00102FA1">
              <w:rPr>
                <w:rFonts w:asciiTheme="majorHAnsi" w:eastAsia="Times New Roman" w:hAnsiTheme="majorHAnsi" w:cs="Times New Roman"/>
                <w:sz w:val="20"/>
                <w:szCs w:val="20"/>
              </w:rPr>
              <w:br/>
              <w:t xml:space="preserve">DATA PROTECTION OFFICER: </w:t>
            </w:r>
            <w:r w:rsidR="007A02DE" w:rsidRPr="00102FA1">
              <w:rPr>
                <w:rFonts w:asciiTheme="majorHAnsi" w:eastAsia="Times New Roman" w:hAnsiTheme="majorHAnsi" w:cs="Times New Roman"/>
                <w:sz w:val="20"/>
                <w:szCs w:val="20"/>
              </w:rPr>
              <w:t xml:space="preserve">Kate Bousfield-Paris </w:t>
            </w:r>
            <w:r w:rsidRPr="00102FA1">
              <w:rPr>
                <w:rFonts w:asciiTheme="majorHAnsi" w:eastAsia="Times New Roman" w:hAnsiTheme="majorHAnsi" w:cs="Times New Roman"/>
                <w:sz w:val="20"/>
                <w:szCs w:val="20"/>
              </w:rPr>
              <w:br/>
              <w:t xml:space="preserve">INSTITUTION OR BODY: Agency for the Cooperation of Energy Regulators </w:t>
            </w:r>
          </w:p>
        </w:tc>
      </w:tr>
    </w:tbl>
    <w:p w14:paraId="76D58064" w14:textId="77777777" w:rsidR="00F86BEF" w:rsidRPr="00991A6C" w:rsidRDefault="00F86BEF">
      <w:pPr>
        <w:rPr>
          <w:rFonts w:asciiTheme="majorHAnsi" w:hAnsiTheme="majorHAnsi" w:cs="Times New Roman"/>
        </w:rPr>
      </w:pPr>
    </w:p>
    <w:sectPr w:rsidR="00F86BEF" w:rsidRPr="00991A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AE00" w14:textId="77777777" w:rsidR="00B342AE" w:rsidRDefault="00B342AE" w:rsidP="00B342AE">
      <w:pPr>
        <w:spacing w:after="0" w:line="240" w:lineRule="auto"/>
      </w:pPr>
      <w:r>
        <w:separator/>
      </w:r>
    </w:p>
  </w:endnote>
  <w:endnote w:type="continuationSeparator" w:id="0">
    <w:p w14:paraId="3BF27768" w14:textId="77777777" w:rsidR="00B342AE" w:rsidRDefault="00B342AE" w:rsidP="00B3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2E53" w14:textId="77777777" w:rsidR="00B342AE" w:rsidRDefault="00B342AE" w:rsidP="00B342AE">
      <w:pPr>
        <w:spacing w:after="0" w:line="240" w:lineRule="auto"/>
      </w:pPr>
      <w:r>
        <w:separator/>
      </w:r>
    </w:p>
  </w:footnote>
  <w:footnote w:type="continuationSeparator" w:id="0">
    <w:p w14:paraId="14F8EAA4" w14:textId="77777777" w:rsidR="00B342AE" w:rsidRDefault="00B342AE" w:rsidP="00B342AE">
      <w:pPr>
        <w:spacing w:after="0" w:line="240" w:lineRule="auto"/>
      </w:pPr>
      <w:r>
        <w:continuationSeparator/>
      </w:r>
    </w:p>
  </w:footnote>
  <w:footnote w:id="1">
    <w:p w14:paraId="58F4A330" w14:textId="235CFA06" w:rsidR="00B342AE" w:rsidRPr="00E66CA8" w:rsidRDefault="00B342AE">
      <w:pPr>
        <w:pStyle w:val="FootnoteText"/>
      </w:pPr>
      <w:r>
        <w:rPr>
          <w:rStyle w:val="FootnoteReference"/>
        </w:rPr>
        <w:footnoteRef/>
      </w:r>
      <w:r>
        <w:t xml:space="preserve"> </w:t>
      </w:r>
      <w:r w:rsidRPr="007A2E16">
        <w:rPr>
          <w:rFonts w:asciiTheme="majorHAnsi" w:eastAsia="Times New Roman" w:hAnsiTheme="majorHAnsi" w:cs="Times New Roman"/>
          <w:bCs/>
          <w:iCs/>
        </w:rPr>
        <w:t>Available at the following link: http://www.ombudsman.europa.eu/cases/correspondence.faces/en/54521/html.bookmark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B9E"/>
    <w:multiLevelType w:val="hybridMultilevel"/>
    <w:tmpl w:val="FB2A3520"/>
    <w:lvl w:ilvl="0" w:tplc="0809000F">
      <w:start w:val="1"/>
      <w:numFmt w:val="decimal"/>
      <w:lvlText w:val="%1."/>
      <w:lvlJc w:val="left"/>
      <w:pPr>
        <w:ind w:left="720" w:hanging="360"/>
      </w:pPr>
    </w:lvl>
    <w:lvl w:ilvl="1" w:tplc="7B9C9D8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421D0"/>
    <w:multiLevelType w:val="hybridMultilevel"/>
    <w:tmpl w:val="0D1C2AD2"/>
    <w:lvl w:ilvl="0" w:tplc="DC4C05A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842CB"/>
    <w:multiLevelType w:val="hybridMultilevel"/>
    <w:tmpl w:val="7946E5BA"/>
    <w:lvl w:ilvl="0" w:tplc="559A56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2A72"/>
    <w:multiLevelType w:val="hybridMultilevel"/>
    <w:tmpl w:val="05108A66"/>
    <w:lvl w:ilvl="0" w:tplc="7B9C9D84">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685C"/>
    <w:multiLevelType w:val="hybridMultilevel"/>
    <w:tmpl w:val="409C1DF6"/>
    <w:lvl w:ilvl="0" w:tplc="0702293C">
      <w:start w:val="1000"/>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E03C0"/>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D5520"/>
    <w:multiLevelType w:val="hybridMultilevel"/>
    <w:tmpl w:val="7AD25566"/>
    <w:lvl w:ilvl="0" w:tplc="32D69B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C7DAF"/>
    <w:multiLevelType w:val="hybridMultilevel"/>
    <w:tmpl w:val="E06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85220D"/>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2502F"/>
    <w:multiLevelType w:val="hybridMultilevel"/>
    <w:tmpl w:val="A21A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BA7B57"/>
    <w:multiLevelType w:val="hybridMultilevel"/>
    <w:tmpl w:val="0ACC8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D1BE3"/>
    <w:multiLevelType w:val="hybridMultilevel"/>
    <w:tmpl w:val="7946E5BA"/>
    <w:lvl w:ilvl="0" w:tplc="559A56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F20638"/>
    <w:multiLevelType w:val="hybridMultilevel"/>
    <w:tmpl w:val="76A2BB82"/>
    <w:lvl w:ilvl="0" w:tplc="7B9C9D84">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1B1CE2"/>
    <w:multiLevelType w:val="hybridMultilevel"/>
    <w:tmpl w:val="6F0EF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2"/>
  </w:num>
  <w:num w:numId="5">
    <w:abstractNumId w:val="6"/>
  </w:num>
  <w:num w:numId="6">
    <w:abstractNumId w:val="7"/>
  </w:num>
  <w:num w:numId="7">
    <w:abstractNumId w:val="5"/>
  </w:num>
  <w:num w:numId="8">
    <w:abstractNumId w:val="8"/>
  </w:num>
  <w:num w:numId="9">
    <w:abstractNumId w:val="11"/>
  </w:num>
  <w:num w:numId="10">
    <w:abstractNumId w:val="10"/>
  </w:num>
  <w:num w:numId="11">
    <w:abstractNumId w:val="4"/>
  </w:num>
  <w:num w:numId="12">
    <w:abstractNumId w:val="0"/>
  </w:num>
  <w:num w:numId="13">
    <w:abstractNumId w:val="14"/>
  </w:num>
  <w:num w:numId="14">
    <w:abstractNumId w:val="15"/>
  </w:num>
  <w:num w:numId="15">
    <w:abstractNumId w:val="2"/>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174D3"/>
    <w:rsid w:val="0004790A"/>
    <w:rsid w:val="0005472A"/>
    <w:rsid w:val="000550AB"/>
    <w:rsid w:val="00085663"/>
    <w:rsid w:val="00092E9F"/>
    <w:rsid w:val="000D7A9B"/>
    <w:rsid w:val="00102FA1"/>
    <w:rsid w:val="00132C4F"/>
    <w:rsid w:val="0014620E"/>
    <w:rsid w:val="00161548"/>
    <w:rsid w:val="00182FF2"/>
    <w:rsid w:val="0018304B"/>
    <w:rsid w:val="0019587A"/>
    <w:rsid w:val="001A4C9D"/>
    <w:rsid w:val="001B6344"/>
    <w:rsid w:val="00203006"/>
    <w:rsid w:val="0021365C"/>
    <w:rsid w:val="002165F9"/>
    <w:rsid w:val="00217B66"/>
    <w:rsid w:val="0026043D"/>
    <w:rsid w:val="002771AA"/>
    <w:rsid w:val="002A0710"/>
    <w:rsid w:val="002A77AC"/>
    <w:rsid w:val="002B0120"/>
    <w:rsid w:val="002C285D"/>
    <w:rsid w:val="002E08F1"/>
    <w:rsid w:val="002E38AD"/>
    <w:rsid w:val="002F52AA"/>
    <w:rsid w:val="003061B7"/>
    <w:rsid w:val="00321A42"/>
    <w:rsid w:val="00340580"/>
    <w:rsid w:val="00366610"/>
    <w:rsid w:val="00386046"/>
    <w:rsid w:val="003917D4"/>
    <w:rsid w:val="003E05D9"/>
    <w:rsid w:val="003F1426"/>
    <w:rsid w:val="00410C9B"/>
    <w:rsid w:val="004211AA"/>
    <w:rsid w:val="004271E8"/>
    <w:rsid w:val="00443F5B"/>
    <w:rsid w:val="00446495"/>
    <w:rsid w:val="00466B60"/>
    <w:rsid w:val="00470603"/>
    <w:rsid w:val="00482575"/>
    <w:rsid w:val="004A5A68"/>
    <w:rsid w:val="004B527F"/>
    <w:rsid w:val="0050523F"/>
    <w:rsid w:val="005367C3"/>
    <w:rsid w:val="0056317A"/>
    <w:rsid w:val="00566C6E"/>
    <w:rsid w:val="005857F8"/>
    <w:rsid w:val="005D7F42"/>
    <w:rsid w:val="005F3420"/>
    <w:rsid w:val="00621C7A"/>
    <w:rsid w:val="0064691E"/>
    <w:rsid w:val="006529D8"/>
    <w:rsid w:val="0065310E"/>
    <w:rsid w:val="00666983"/>
    <w:rsid w:val="00674F9B"/>
    <w:rsid w:val="00687CB8"/>
    <w:rsid w:val="006A69B2"/>
    <w:rsid w:val="006E0788"/>
    <w:rsid w:val="006E6254"/>
    <w:rsid w:val="006E6315"/>
    <w:rsid w:val="00720740"/>
    <w:rsid w:val="00726C0C"/>
    <w:rsid w:val="0075159A"/>
    <w:rsid w:val="0075192A"/>
    <w:rsid w:val="00767DA9"/>
    <w:rsid w:val="00786181"/>
    <w:rsid w:val="00796250"/>
    <w:rsid w:val="007A02DE"/>
    <w:rsid w:val="007A2E16"/>
    <w:rsid w:val="007B2736"/>
    <w:rsid w:val="007B69EE"/>
    <w:rsid w:val="007F6671"/>
    <w:rsid w:val="00825202"/>
    <w:rsid w:val="008331DB"/>
    <w:rsid w:val="00843933"/>
    <w:rsid w:val="00844F61"/>
    <w:rsid w:val="00877476"/>
    <w:rsid w:val="00891D8A"/>
    <w:rsid w:val="00893340"/>
    <w:rsid w:val="008A0C09"/>
    <w:rsid w:val="008B6EF6"/>
    <w:rsid w:val="008D4E85"/>
    <w:rsid w:val="008F22BF"/>
    <w:rsid w:val="008F37DF"/>
    <w:rsid w:val="00900DD8"/>
    <w:rsid w:val="009222FD"/>
    <w:rsid w:val="00983DD4"/>
    <w:rsid w:val="00991A6C"/>
    <w:rsid w:val="009C7776"/>
    <w:rsid w:val="009D6A9D"/>
    <w:rsid w:val="009D7FFE"/>
    <w:rsid w:val="009E068E"/>
    <w:rsid w:val="00A14D3F"/>
    <w:rsid w:val="00A44DBC"/>
    <w:rsid w:val="00A56682"/>
    <w:rsid w:val="00A65F7F"/>
    <w:rsid w:val="00A90F54"/>
    <w:rsid w:val="00AC2A7B"/>
    <w:rsid w:val="00AF0B8B"/>
    <w:rsid w:val="00B048E3"/>
    <w:rsid w:val="00B22689"/>
    <w:rsid w:val="00B250E3"/>
    <w:rsid w:val="00B342AE"/>
    <w:rsid w:val="00B3747D"/>
    <w:rsid w:val="00B4164D"/>
    <w:rsid w:val="00B45752"/>
    <w:rsid w:val="00B64843"/>
    <w:rsid w:val="00B65565"/>
    <w:rsid w:val="00B75A0F"/>
    <w:rsid w:val="00B9628E"/>
    <w:rsid w:val="00BA010B"/>
    <w:rsid w:val="00BA7FF8"/>
    <w:rsid w:val="00BB173E"/>
    <w:rsid w:val="00BD29C0"/>
    <w:rsid w:val="00BD6B74"/>
    <w:rsid w:val="00BF2186"/>
    <w:rsid w:val="00C10F9D"/>
    <w:rsid w:val="00C22EC0"/>
    <w:rsid w:val="00C413D7"/>
    <w:rsid w:val="00C43B5A"/>
    <w:rsid w:val="00C46C01"/>
    <w:rsid w:val="00C65B0B"/>
    <w:rsid w:val="00CC24DA"/>
    <w:rsid w:val="00CD7265"/>
    <w:rsid w:val="00CE15BD"/>
    <w:rsid w:val="00CE2B32"/>
    <w:rsid w:val="00D13D62"/>
    <w:rsid w:val="00D275D8"/>
    <w:rsid w:val="00D32BD4"/>
    <w:rsid w:val="00D51978"/>
    <w:rsid w:val="00D67522"/>
    <w:rsid w:val="00D7093E"/>
    <w:rsid w:val="00D83B33"/>
    <w:rsid w:val="00D87A5A"/>
    <w:rsid w:val="00DD1282"/>
    <w:rsid w:val="00DE4F31"/>
    <w:rsid w:val="00E0642D"/>
    <w:rsid w:val="00E12ACE"/>
    <w:rsid w:val="00E228F0"/>
    <w:rsid w:val="00E4250E"/>
    <w:rsid w:val="00E5178A"/>
    <w:rsid w:val="00E66CA8"/>
    <w:rsid w:val="00E72C0B"/>
    <w:rsid w:val="00EC6D17"/>
    <w:rsid w:val="00EC7288"/>
    <w:rsid w:val="00ED19BF"/>
    <w:rsid w:val="00ED5894"/>
    <w:rsid w:val="00ED7FEB"/>
    <w:rsid w:val="00EF6006"/>
    <w:rsid w:val="00F11E6E"/>
    <w:rsid w:val="00F244FD"/>
    <w:rsid w:val="00F77BBC"/>
    <w:rsid w:val="00F80F14"/>
    <w:rsid w:val="00F86BEF"/>
    <w:rsid w:val="00FD5A04"/>
    <w:rsid w:val="00FE72EB"/>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216"/>
  <w15:docId w15:val="{E711602B-7769-499F-9FBA-876EE27C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D275D8"/>
    <w:rPr>
      <w:color w:val="0000FF" w:themeColor="hyperlink"/>
      <w:u w:val="single"/>
    </w:rPr>
  </w:style>
  <w:style w:type="character" w:styleId="FollowedHyperlink">
    <w:name w:val="FollowedHyperlink"/>
    <w:basedOn w:val="DefaultParagraphFont"/>
    <w:uiPriority w:val="99"/>
    <w:semiHidden/>
    <w:unhideWhenUsed/>
    <w:rsid w:val="00203006"/>
    <w:rPr>
      <w:color w:val="800080" w:themeColor="followedHyperlink"/>
      <w:u w:val="single"/>
    </w:rPr>
  </w:style>
  <w:style w:type="character" w:styleId="CommentReference">
    <w:name w:val="annotation reference"/>
    <w:basedOn w:val="DefaultParagraphFont"/>
    <w:uiPriority w:val="99"/>
    <w:semiHidden/>
    <w:unhideWhenUsed/>
    <w:rsid w:val="0018304B"/>
    <w:rPr>
      <w:sz w:val="16"/>
      <w:szCs w:val="16"/>
    </w:rPr>
  </w:style>
  <w:style w:type="paragraph" w:styleId="CommentText">
    <w:name w:val="annotation text"/>
    <w:basedOn w:val="Normal"/>
    <w:link w:val="CommentTextChar"/>
    <w:uiPriority w:val="99"/>
    <w:semiHidden/>
    <w:unhideWhenUsed/>
    <w:rsid w:val="0018304B"/>
    <w:pPr>
      <w:spacing w:line="240" w:lineRule="auto"/>
    </w:pPr>
    <w:rPr>
      <w:sz w:val="20"/>
      <w:szCs w:val="20"/>
    </w:rPr>
  </w:style>
  <w:style w:type="character" w:customStyle="1" w:styleId="CommentTextChar">
    <w:name w:val="Comment Text Char"/>
    <w:basedOn w:val="DefaultParagraphFont"/>
    <w:link w:val="CommentText"/>
    <w:uiPriority w:val="99"/>
    <w:semiHidden/>
    <w:rsid w:val="0018304B"/>
    <w:rPr>
      <w:sz w:val="20"/>
      <w:szCs w:val="20"/>
    </w:rPr>
  </w:style>
  <w:style w:type="paragraph" w:styleId="CommentSubject">
    <w:name w:val="annotation subject"/>
    <w:basedOn w:val="CommentText"/>
    <w:next w:val="CommentText"/>
    <w:link w:val="CommentSubjectChar"/>
    <w:uiPriority w:val="99"/>
    <w:semiHidden/>
    <w:unhideWhenUsed/>
    <w:rsid w:val="0018304B"/>
    <w:rPr>
      <w:b/>
      <w:bCs/>
    </w:rPr>
  </w:style>
  <w:style w:type="character" w:customStyle="1" w:styleId="CommentSubjectChar">
    <w:name w:val="Comment Subject Char"/>
    <w:basedOn w:val="CommentTextChar"/>
    <w:link w:val="CommentSubject"/>
    <w:uiPriority w:val="99"/>
    <w:semiHidden/>
    <w:rsid w:val="0018304B"/>
    <w:rPr>
      <w:b/>
      <w:bCs/>
      <w:sz w:val="20"/>
      <w:szCs w:val="20"/>
    </w:rPr>
  </w:style>
  <w:style w:type="paragraph" w:customStyle="1" w:styleId="Default">
    <w:name w:val="Default"/>
    <w:rsid w:val="00BD6B7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621C7A"/>
    <w:pPr>
      <w:spacing w:after="0" w:line="240" w:lineRule="auto"/>
    </w:pPr>
  </w:style>
  <w:style w:type="paragraph" w:styleId="FootnoteText">
    <w:name w:val="footnote text"/>
    <w:basedOn w:val="Normal"/>
    <w:link w:val="FootnoteTextChar"/>
    <w:uiPriority w:val="99"/>
    <w:semiHidden/>
    <w:unhideWhenUsed/>
    <w:rsid w:val="00B3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2AE"/>
    <w:rPr>
      <w:sz w:val="20"/>
      <w:szCs w:val="20"/>
    </w:rPr>
  </w:style>
  <w:style w:type="character" w:styleId="FootnoteReference">
    <w:name w:val="footnote reference"/>
    <w:basedOn w:val="DefaultParagraphFont"/>
    <w:uiPriority w:val="99"/>
    <w:semiHidden/>
    <w:unhideWhenUsed/>
    <w:rsid w:val="00B34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walczak@acer.europa.e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ACER-2017-76968</_dlc_DocId>
    <_dlc_DocIdUrl xmlns="985daa2e-53d8-4475-82b8-9c7d25324e34">
      <Url>http://extranet.acer.europa.eu/Media/_layouts/15/DocIdRedir.aspx?ID=ACER-2017-76968</Url>
      <Description>ACER-2017-76968</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EAE22-3631-4D14-923B-D9DABE6600E8}"/>
</file>

<file path=customXml/itemProps2.xml><?xml version="1.0" encoding="utf-8"?>
<ds:datastoreItem xmlns:ds="http://schemas.openxmlformats.org/officeDocument/2006/customXml" ds:itemID="{32928552-878E-4482-AC9C-D40F33295D02}"/>
</file>

<file path=customXml/itemProps3.xml><?xml version="1.0" encoding="utf-8"?>
<ds:datastoreItem xmlns:ds="http://schemas.openxmlformats.org/officeDocument/2006/customXml" ds:itemID="{FAF7EDEC-B3FB-4DD2-B089-3DFD8DB0F46A}"/>
</file>

<file path=customXml/itemProps4.xml><?xml version="1.0" encoding="utf-8"?>
<ds:datastoreItem xmlns:ds="http://schemas.openxmlformats.org/officeDocument/2006/customXml" ds:itemID="{6B6AB25A-0721-4092-8FEC-28DC38B7C4FB}"/>
</file>

<file path=customXml/itemProps5.xml><?xml version="1.0" encoding="utf-8"?>
<ds:datastoreItem xmlns:ds="http://schemas.openxmlformats.org/officeDocument/2006/customXml" ds:itemID="{8B6BD38D-05AF-4B47-99DD-57A47D7A6F33}"/>
</file>

<file path=customXml/itemProps6.xml><?xml version="1.0" encoding="utf-8"?>
<ds:datastoreItem xmlns:ds="http://schemas.openxmlformats.org/officeDocument/2006/customXml" ds:itemID="{837953B4-F0E5-4ECD-9E0A-8D37D8667052}"/>
</file>

<file path=customXml/itemProps7.xml><?xml version="1.0" encoding="utf-8"?>
<ds:datastoreItem xmlns:ds="http://schemas.openxmlformats.org/officeDocument/2006/customXml" ds:itemID="{8B6BD38D-05AF-4B47-99DD-57A47D7A6F33}"/>
</file>

<file path=docProps/app.xml><?xml version="1.0" encoding="utf-8"?>
<Properties xmlns="http://schemas.openxmlformats.org/officeDocument/2006/extended-properties" xmlns:vt="http://schemas.openxmlformats.org/officeDocument/2006/docPropsVTypes">
  <Template>Normal</Template>
  <TotalTime>8</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Kate Bousfield-Paris</cp:lastModifiedBy>
  <cp:revision>6</cp:revision>
  <cp:lastPrinted>2014-12-03T15:57:00Z</cp:lastPrinted>
  <dcterms:created xsi:type="dcterms:W3CDTF">2015-08-10T10:09:00Z</dcterms:created>
  <dcterms:modified xsi:type="dcterms:W3CDTF">2015-08-10T12:10:00Z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0a8f15a1-e708-45f5-aed8-2b79f7c09891</vt:lpwstr>
  </property>
  <property fmtid="{D5CDD505-2E9C-101B-9397-08002B2CF9AE}" pid="3" name="ContentTypeId">
    <vt:lpwstr>0x0101001AE9DD38BBCCB94CB488FFC588F99A7B</vt:lpwstr>
  </property>
</Properties>
</file>